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77BF8" w14:textId="7790949C" w:rsidR="001975BE" w:rsidRPr="0091374A" w:rsidRDefault="00B07C1D" w:rsidP="001975BE">
      <w:pPr>
        <w:ind w:firstLine="708"/>
        <w:jc w:val="both"/>
        <w:rPr>
          <w:szCs w:val="22"/>
        </w:rPr>
      </w:pPr>
      <w:r w:rsidRPr="00314CC3">
        <w:t>A köztulajdonról szóló törvény 27. szakaszának 10. bekezdése (</w:t>
      </w:r>
      <w:r w:rsidR="00827C3F">
        <w:t xml:space="preserve">Az </w:t>
      </w:r>
      <w:r w:rsidRPr="00314CC3">
        <w:t>S</w:t>
      </w:r>
      <w:r w:rsidR="00827C3F">
        <w:t>Z</w:t>
      </w:r>
      <w:r w:rsidRPr="00314CC3">
        <w:t xml:space="preserve">K Hivatalos Közlönye, </w:t>
      </w:r>
      <w:r w:rsidR="00560727" w:rsidRPr="00560727">
        <w:t>72/2011</w:t>
      </w:r>
      <w:r w:rsidR="00560727">
        <w:t>.</w:t>
      </w:r>
      <w:r w:rsidR="00560727" w:rsidRPr="00560727">
        <w:t>, 88/2013</w:t>
      </w:r>
      <w:r w:rsidR="00560727">
        <w:t>.</w:t>
      </w:r>
      <w:r w:rsidR="00560727" w:rsidRPr="00560727">
        <w:t>, 105/2014</w:t>
      </w:r>
      <w:r w:rsidR="00560727">
        <w:t>.</w:t>
      </w:r>
      <w:r w:rsidR="00560727" w:rsidRPr="00560727">
        <w:t>, 104/2016</w:t>
      </w:r>
      <w:r w:rsidR="00827C3F">
        <w:t>. - másik törvény,</w:t>
      </w:r>
      <w:r w:rsidRPr="00314CC3">
        <w:t xml:space="preserve"> </w:t>
      </w:r>
      <w:r w:rsidR="00560727" w:rsidRPr="00560727">
        <w:t>108/2016</w:t>
      </w:r>
      <w:r w:rsidR="00560727">
        <w:t>.</w:t>
      </w:r>
      <w:r w:rsidR="00560727" w:rsidRPr="00560727">
        <w:t>, 113/2017</w:t>
      </w:r>
      <w:r w:rsidR="00560727">
        <w:t>.</w:t>
      </w:r>
      <w:r w:rsidR="00560727" w:rsidRPr="00560727">
        <w:t>, 95/2018</w:t>
      </w:r>
      <w:r w:rsidR="00560727">
        <w:t>.</w:t>
      </w:r>
      <w:r w:rsidR="00A826A5">
        <w:t>,</w:t>
      </w:r>
      <w:r w:rsidR="00560727" w:rsidRPr="00560727">
        <w:t xml:space="preserve"> 153/2020</w:t>
      </w:r>
      <w:r w:rsidR="00827C3F">
        <w:t>.</w:t>
      </w:r>
      <w:r w:rsidR="00A826A5">
        <w:t xml:space="preserve"> és 94/2024.</w:t>
      </w:r>
      <w:r w:rsidR="00827C3F">
        <w:t xml:space="preserve"> </w:t>
      </w:r>
      <w:r w:rsidRPr="00314CC3">
        <w:t>szám),</w:t>
      </w:r>
      <w:r w:rsidR="001975BE">
        <w:t xml:space="preserve"> </w:t>
      </w:r>
      <w:r w:rsidR="001975BE" w:rsidRPr="0091374A">
        <w:rPr>
          <w:szCs w:val="22"/>
        </w:rPr>
        <w:t xml:space="preserve">Az ingatlanok közvetlen megegyezéssel </w:t>
      </w:r>
      <w:r w:rsidR="001975BE">
        <w:rPr>
          <w:szCs w:val="22"/>
        </w:rPr>
        <w:t>történő</w:t>
      </w:r>
      <w:r w:rsidR="001975BE" w:rsidRPr="0091374A">
        <w:rPr>
          <w:szCs w:val="22"/>
        </w:rPr>
        <w:t xml:space="preserve"> megszerzésének és </w:t>
      </w:r>
      <w:r w:rsidR="001975BE">
        <w:rPr>
          <w:szCs w:val="22"/>
        </w:rPr>
        <w:t>elidegenítésének</w:t>
      </w:r>
      <w:r w:rsidR="001975BE" w:rsidRPr="0091374A">
        <w:rPr>
          <w:szCs w:val="22"/>
        </w:rPr>
        <w:t xml:space="preserve">, valamint a közvagyon bérbeadásának, </w:t>
      </w:r>
      <w:r w:rsidR="001975BE">
        <w:rPr>
          <w:szCs w:val="22"/>
        </w:rPr>
        <w:t>illetve egyéb vagyonjogok megszerzése és felhasználása átruházásának, és</w:t>
      </w:r>
      <w:r w:rsidR="001975BE" w:rsidRPr="0091374A">
        <w:rPr>
          <w:szCs w:val="22"/>
        </w:rPr>
        <w:t xml:space="preserve"> a nyilvános árverés és írásos ajánlatok vételét illető eljárás feltételeiről szóló rendelet </w:t>
      </w:r>
      <w:r w:rsidR="00D605AC">
        <w:rPr>
          <w:szCs w:val="22"/>
        </w:rPr>
        <w:t>2</w:t>
      </w:r>
      <w:r w:rsidR="001975BE" w:rsidRPr="0091374A">
        <w:rPr>
          <w:szCs w:val="22"/>
        </w:rPr>
        <w:t>. szakasz</w:t>
      </w:r>
      <w:r w:rsidR="00D605AC">
        <w:rPr>
          <w:szCs w:val="22"/>
        </w:rPr>
        <w:t>a</w:t>
      </w:r>
      <w:r w:rsidR="001975BE" w:rsidRPr="0091374A">
        <w:rPr>
          <w:szCs w:val="22"/>
        </w:rPr>
        <w:t xml:space="preserve"> (</w:t>
      </w:r>
      <w:r w:rsidR="001975BE">
        <w:rPr>
          <w:szCs w:val="22"/>
        </w:rPr>
        <w:t xml:space="preserve">Az </w:t>
      </w:r>
      <w:r w:rsidR="001975BE" w:rsidRPr="0091374A">
        <w:rPr>
          <w:szCs w:val="22"/>
        </w:rPr>
        <w:t>S</w:t>
      </w:r>
      <w:r w:rsidR="001975BE">
        <w:rPr>
          <w:szCs w:val="22"/>
        </w:rPr>
        <w:t>Z</w:t>
      </w:r>
      <w:r w:rsidR="001975BE" w:rsidRPr="0091374A">
        <w:rPr>
          <w:szCs w:val="22"/>
        </w:rPr>
        <w:t xml:space="preserve">K Hivatalos Közlönye, </w:t>
      </w:r>
      <w:r w:rsidR="00560727">
        <w:rPr>
          <w:szCs w:val="22"/>
        </w:rPr>
        <w:t>16/</w:t>
      </w:r>
      <w:r w:rsidR="001975BE">
        <w:rPr>
          <w:szCs w:val="22"/>
        </w:rPr>
        <w:t>2018.</w:t>
      </w:r>
      <w:r w:rsidR="00560727">
        <w:rPr>
          <w:szCs w:val="22"/>
        </w:rPr>
        <w:t xml:space="preserve"> és</w:t>
      </w:r>
      <w:r w:rsidR="001975BE" w:rsidRPr="0091374A">
        <w:rPr>
          <w:szCs w:val="22"/>
        </w:rPr>
        <w:t xml:space="preserve"> </w:t>
      </w:r>
      <w:r w:rsidR="00560727">
        <w:rPr>
          <w:szCs w:val="22"/>
        </w:rPr>
        <w:t xml:space="preserve">79/2023. </w:t>
      </w:r>
      <w:r w:rsidR="001975BE" w:rsidRPr="0091374A">
        <w:rPr>
          <w:szCs w:val="22"/>
        </w:rPr>
        <w:t>szám),</w:t>
      </w:r>
      <w:r w:rsidR="00D605AC">
        <w:rPr>
          <w:szCs w:val="22"/>
        </w:rPr>
        <w:t xml:space="preserve"> A helyi önkormányzatról szóló törvény 32. szakasza</w:t>
      </w:r>
      <w:r w:rsidR="001975BE" w:rsidRPr="0091374A">
        <w:rPr>
          <w:szCs w:val="22"/>
        </w:rPr>
        <w:t xml:space="preserve"> </w:t>
      </w:r>
      <w:r w:rsidR="00D605AC">
        <w:rPr>
          <w:szCs w:val="22"/>
        </w:rPr>
        <w:t xml:space="preserve">1. bekezdésének 20) pontja (Az SZK Hivatalos Közlönye, </w:t>
      </w:r>
      <w:r w:rsidR="00141002" w:rsidRPr="00570A3A">
        <w:rPr>
          <w:szCs w:val="22"/>
          <w:lang w:val="sr-Cyrl-RS"/>
        </w:rPr>
        <w:t>129/2007</w:t>
      </w:r>
      <w:r w:rsidR="00141002">
        <w:rPr>
          <w:szCs w:val="22"/>
        </w:rPr>
        <w:t>.</w:t>
      </w:r>
      <w:r w:rsidR="00141002" w:rsidRPr="00570A3A">
        <w:rPr>
          <w:szCs w:val="22"/>
          <w:lang w:val="sr-Cyrl-RS"/>
        </w:rPr>
        <w:t>, 83/2014</w:t>
      </w:r>
      <w:r w:rsidR="00CE0091">
        <w:rPr>
          <w:szCs w:val="22"/>
        </w:rPr>
        <w:t xml:space="preserve">. – másik törvény, </w:t>
      </w:r>
      <w:r w:rsidR="00141002">
        <w:rPr>
          <w:szCs w:val="22"/>
        </w:rPr>
        <w:t>101/</w:t>
      </w:r>
      <w:r w:rsidR="00CE0091">
        <w:rPr>
          <w:szCs w:val="22"/>
        </w:rPr>
        <w:t xml:space="preserve">2016. – másik törvény, </w:t>
      </w:r>
      <w:r w:rsidR="00141002">
        <w:rPr>
          <w:szCs w:val="22"/>
        </w:rPr>
        <w:t>47/</w:t>
      </w:r>
      <w:r w:rsidR="00CE0091">
        <w:rPr>
          <w:szCs w:val="22"/>
        </w:rPr>
        <w:t xml:space="preserve">2018. és </w:t>
      </w:r>
      <w:r w:rsidR="00141002">
        <w:rPr>
          <w:szCs w:val="22"/>
        </w:rPr>
        <w:t>111/</w:t>
      </w:r>
      <w:r w:rsidR="00CE0091">
        <w:rPr>
          <w:szCs w:val="22"/>
        </w:rPr>
        <w:t>2021. – másik törvény szám),</w:t>
      </w:r>
      <w:r w:rsidR="00D605AC">
        <w:rPr>
          <w:szCs w:val="22"/>
        </w:rPr>
        <w:t xml:space="preserve"> </w:t>
      </w:r>
      <w:r w:rsidR="001975BE" w:rsidRPr="0091374A">
        <w:rPr>
          <w:szCs w:val="22"/>
        </w:rPr>
        <w:t>Topolya község Statútuma 4</w:t>
      </w:r>
      <w:r w:rsidR="001975BE">
        <w:rPr>
          <w:szCs w:val="22"/>
        </w:rPr>
        <w:t>7</w:t>
      </w:r>
      <w:r w:rsidR="001975BE" w:rsidRPr="0091374A">
        <w:rPr>
          <w:szCs w:val="22"/>
        </w:rPr>
        <w:t xml:space="preserve">. szakasza 1. bekezdésének </w:t>
      </w:r>
      <w:r w:rsidR="00CE0091">
        <w:rPr>
          <w:szCs w:val="22"/>
        </w:rPr>
        <w:t>3</w:t>
      </w:r>
      <w:r w:rsidR="001975BE">
        <w:rPr>
          <w:szCs w:val="22"/>
        </w:rPr>
        <w:t>6)</w:t>
      </w:r>
      <w:r w:rsidR="001975BE" w:rsidRPr="0091374A">
        <w:rPr>
          <w:szCs w:val="22"/>
        </w:rPr>
        <w:t xml:space="preserve"> pontja (Topolya Község Hivatalos Lapja, </w:t>
      </w:r>
      <w:r w:rsidR="00141002">
        <w:rPr>
          <w:szCs w:val="22"/>
        </w:rPr>
        <w:t>5.1/</w:t>
      </w:r>
      <w:r w:rsidR="001975BE" w:rsidRPr="0091374A">
        <w:rPr>
          <w:szCs w:val="22"/>
        </w:rPr>
        <w:t>20</w:t>
      </w:r>
      <w:r w:rsidR="001975BE">
        <w:rPr>
          <w:szCs w:val="22"/>
        </w:rPr>
        <w:t>19</w:t>
      </w:r>
      <w:r w:rsidR="001121F2">
        <w:rPr>
          <w:szCs w:val="22"/>
        </w:rPr>
        <w:t>. szám)</w:t>
      </w:r>
      <w:r w:rsidR="001975BE" w:rsidRPr="0091374A">
        <w:rPr>
          <w:szCs w:val="22"/>
        </w:rPr>
        <w:t xml:space="preserve"> és A Topolya község köztulajdoná</w:t>
      </w:r>
      <w:r w:rsidR="001975BE">
        <w:rPr>
          <w:szCs w:val="22"/>
        </w:rPr>
        <w:t>ba</w:t>
      </w:r>
      <w:r w:rsidR="000D7A54">
        <w:rPr>
          <w:szCs w:val="22"/>
        </w:rPr>
        <w:t xml:space="preserve"> tartozó vagyontárgyak</w:t>
      </w:r>
      <w:r w:rsidR="001975BE" w:rsidRPr="0091374A">
        <w:rPr>
          <w:szCs w:val="22"/>
        </w:rPr>
        <w:t xml:space="preserve"> beszerzéséről, használatáról, kezeléséről és </w:t>
      </w:r>
      <w:r w:rsidR="001975BE">
        <w:rPr>
          <w:szCs w:val="22"/>
        </w:rPr>
        <w:t xml:space="preserve">az </w:t>
      </w:r>
      <w:r w:rsidR="001975BE" w:rsidRPr="0091374A">
        <w:rPr>
          <w:szCs w:val="22"/>
        </w:rPr>
        <w:t>ezekkel való rendelkezésről szóló határozat 1</w:t>
      </w:r>
      <w:r w:rsidR="00CE0091">
        <w:rPr>
          <w:szCs w:val="22"/>
        </w:rPr>
        <w:t>0</w:t>
      </w:r>
      <w:r w:rsidR="001975BE" w:rsidRPr="0091374A">
        <w:rPr>
          <w:szCs w:val="22"/>
        </w:rPr>
        <w:t>. szakasz</w:t>
      </w:r>
      <w:r w:rsidR="001121F2">
        <w:rPr>
          <w:szCs w:val="22"/>
        </w:rPr>
        <w:t>ának</w:t>
      </w:r>
      <w:r w:rsidR="001975BE" w:rsidRPr="0091374A">
        <w:rPr>
          <w:szCs w:val="22"/>
        </w:rPr>
        <w:t xml:space="preserve"> </w:t>
      </w:r>
      <w:r w:rsidR="001121F2">
        <w:rPr>
          <w:szCs w:val="22"/>
        </w:rPr>
        <w:t xml:space="preserve">1. bekezdése </w:t>
      </w:r>
      <w:r w:rsidR="001975BE" w:rsidRPr="0091374A">
        <w:rPr>
          <w:szCs w:val="22"/>
        </w:rPr>
        <w:t xml:space="preserve">(Topolya Község Hivatalos Lapja, </w:t>
      </w:r>
      <w:r w:rsidR="001121F2">
        <w:rPr>
          <w:szCs w:val="22"/>
        </w:rPr>
        <w:t>38.2/</w:t>
      </w:r>
      <w:r w:rsidR="00014A50">
        <w:rPr>
          <w:szCs w:val="22"/>
        </w:rPr>
        <w:t>2023</w:t>
      </w:r>
      <w:r w:rsidR="001121F2">
        <w:rPr>
          <w:szCs w:val="22"/>
        </w:rPr>
        <w:t>.</w:t>
      </w:r>
      <w:r w:rsidR="00014A50">
        <w:rPr>
          <w:szCs w:val="22"/>
        </w:rPr>
        <w:t xml:space="preserve"> </w:t>
      </w:r>
      <w:r w:rsidR="001975BE" w:rsidRPr="0091374A">
        <w:rPr>
          <w:szCs w:val="22"/>
        </w:rPr>
        <w:t>szám), alapján, Topolya Községi Képviselő-testülete 20</w:t>
      </w:r>
      <w:r w:rsidR="001975BE">
        <w:rPr>
          <w:szCs w:val="22"/>
        </w:rPr>
        <w:t>2</w:t>
      </w:r>
      <w:r w:rsidR="00A826A5">
        <w:rPr>
          <w:szCs w:val="22"/>
        </w:rPr>
        <w:t>5</w:t>
      </w:r>
      <w:r w:rsidR="001975BE" w:rsidRPr="0091374A">
        <w:rPr>
          <w:szCs w:val="22"/>
        </w:rPr>
        <w:t>.__________</w:t>
      </w:r>
      <w:r w:rsidR="001975BE">
        <w:rPr>
          <w:szCs w:val="22"/>
        </w:rPr>
        <w:t>-</w:t>
      </w:r>
      <w:r w:rsidR="001975BE" w:rsidRPr="0091374A">
        <w:rPr>
          <w:szCs w:val="22"/>
        </w:rPr>
        <w:t xml:space="preserve">i ülésén meghozta az alábbi </w:t>
      </w:r>
    </w:p>
    <w:p w14:paraId="1C0B938A" w14:textId="77777777" w:rsidR="00B07C1D" w:rsidRPr="00314CC3" w:rsidRDefault="00B07C1D" w:rsidP="001975BE">
      <w:pPr>
        <w:pStyle w:val="NoSpacing"/>
        <w:ind w:firstLine="709"/>
        <w:jc w:val="both"/>
        <w:rPr>
          <w:rFonts w:ascii="Times New Roman" w:hAnsi="Times New Roman"/>
          <w:lang w:val="hu-HU"/>
        </w:rPr>
      </w:pPr>
    </w:p>
    <w:p w14:paraId="0327E2B0" w14:textId="77777777" w:rsidR="00B07C1D" w:rsidRPr="00314CC3" w:rsidRDefault="00B07C1D" w:rsidP="00B07C1D">
      <w:pPr>
        <w:pStyle w:val="NoSpacing"/>
        <w:jc w:val="center"/>
        <w:rPr>
          <w:rFonts w:ascii="Times New Roman" w:hAnsi="Times New Roman"/>
          <w:b/>
          <w:lang w:val="hu-HU"/>
        </w:rPr>
      </w:pPr>
      <w:r w:rsidRPr="00314CC3">
        <w:rPr>
          <w:rFonts w:ascii="Times New Roman" w:hAnsi="Times New Roman"/>
          <w:b/>
          <w:lang w:val="hu-HU"/>
        </w:rPr>
        <w:t>HATÁROZATOT</w:t>
      </w:r>
    </w:p>
    <w:p w14:paraId="2C302D57" w14:textId="3CBBF7AE" w:rsidR="00B07C1D" w:rsidRPr="00314CC3" w:rsidRDefault="00934DDB" w:rsidP="00B07C1D">
      <w:pPr>
        <w:pStyle w:val="NoSpacing"/>
        <w:jc w:val="center"/>
        <w:rPr>
          <w:rFonts w:ascii="Times New Roman" w:hAnsi="Times New Roman"/>
          <w:b/>
          <w:lang w:val="hu-HU"/>
        </w:rPr>
      </w:pPr>
      <w:r>
        <w:rPr>
          <w:rFonts w:ascii="Times New Roman" w:hAnsi="Times New Roman"/>
          <w:b/>
          <w:lang w:val="hu-HU"/>
        </w:rPr>
        <w:t xml:space="preserve">a </w:t>
      </w:r>
      <w:proofErr w:type="spellStart"/>
      <w:r w:rsidR="00A826A5">
        <w:rPr>
          <w:rFonts w:ascii="Times New Roman" w:hAnsi="Times New Roman"/>
          <w:b/>
          <w:lang w:val="hu-HU"/>
        </w:rPr>
        <w:t>Felsőroglatica</w:t>
      </w:r>
      <w:proofErr w:type="spellEnd"/>
      <w:r w:rsidR="001121F2">
        <w:rPr>
          <w:rFonts w:ascii="Times New Roman" w:hAnsi="Times New Roman"/>
          <w:b/>
          <w:lang w:val="hu-HU"/>
        </w:rPr>
        <w:t xml:space="preserve"> kataszteri község </w:t>
      </w:r>
      <w:r w:rsidR="00247DF1">
        <w:rPr>
          <w:rFonts w:ascii="Times New Roman" w:hAnsi="Times New Roman"/>
          <w:b/>
          <w:lang w:val="hu-HU"/>
        </w:rPr>
        <w:t>2</w:t>
      </w:r>
      <w:r w:rsidR="00A826A5">
        <w:rPr>
          <w:rFonts w:ascii="Times New Roman" w:hAnsi="Times New Roman"/>
          <w:b/>
          <w:lang w:val="hu-HU"/>
        </w:rPr>
        <w:t>403</w:t>
      </w:r>
      <w:r w:rsidR="001121F2">
        <w:rPr>
          <w:rFonts w:ascii="Times New Roman" w:hAnsi="Times New Roman"/>
          <w:b/>
          <w:lang w:val="hu-HU"/>
        </w:rPr>
        <w:t xml:space="preserve">. </w:t>
      </w:r>
      <w:proofErr w:type="spellStart"/>
      <w:r w:rsidR="001121F2">
        <w:rPr>
          <w:rFonts w:ascii="Times New Roman" w:hAnsi="Times New Roman"/>
          <w:b/>
          <w:lang w:val="hu-HU"/>
        </w:rPr>
        <w:t>hsz</w:t>
      </w:r>
      <w:proofErr w:type="spellEnd"/>
      <w:r w:rsidR="001121F2">
        <w:rPr>
          <w:rFonts w:ascii="Times New Roman" w:hAnsi="Times New Roman"/>
          <w:b/>
          <w:lang w:val="hu-HU"/>
        </w:rPr>
        <w:t>. telkén épült</w:t>
      </w:r>
      <w:r w:rsidR="001121F2" w:rsidRPr="00314CC3">
        <w:rPr>
          <w:rFonts w:ascii="Times New Roman" w:hAnsi="Times New Roman"/>
          <w:b/>
          <w:lang w:val="hu-HU"/>
        </w:rPr>
        <w:t xml:space="preserve"> </w:t>
      </w:r>
      <w:r w:rsidR="00B07C1D" w:rsidRPr="00314CC3">
        <w:rPr>
          <w:rFonts w:ascii="Times New Roman" w:hAnsi="Times New Roman"/>
          <w:b/>
          <w:lang w:val="hu-HU"/>
        </w:rPr>
        <w:t>ingatlan Topolya község köztu</w:t>
      </w:r>
      <w:r w:rsidR="00014A50">
        <w:rPr>
          <w:rFonts w:ascii="Times New Roman" w:hAnsi="Times New Roman"/>
          <w:b/>
          <w:lang w:val="hu-HU"/>
        </w:rPr>
        <w:t>lajdonából való elidegen</w:t>
      </w:r>
      <w:r w:rsidR="006215F9">
        <w:rPr>
          <w:rFonts w:ascii="Times New Roman" w:hAnsi="Times New Roman"/>
          <w:b/>
          <w:lang w:val="hu-HU"/>
        </w:rPr>
        <w:t>ítési eljárásának</w:t>
      </w:r>
      <w:r w:rsidR="00014A50">
        <w:rPr>
          <w:rFonts w:ascii="Times New Roman" w:hAnsi="Times New Roman"/>
          <w:b/>
          <w:lang w:val="hu-HU"/>
        </w:rPr>
        <w:t xml:space="preserve"> megkezdéséről</w:t>
      </w:r>
      <w:r w:rsidR="00F01A1C">
        <w:rPr>
          <w:rFonts w:ascii="Times New Roman" w:hAnsi="Times New Roman"/>
          <w:b/>
          <w:lang w:val="hu-HU"/>
        </w:rPr>
        <w:t xml:space="preserve"> </w:t>
      </w:r>
    </w:p>
    <w:p w14:paraId="4F482D50" w14:textId="77777777" w:rsidR="00B07C1D" w:rsidRPr="00314CC3" w:rsidRDefault="00B07C1D" w:rsidP="00B07C1D">
      <w:pPr>
        <w:pStyle w:val="NoSpacing"/>
        <w:jc w:val="center"/>
        <w:rPr>
          <w:rFonts w:ascii="Times New Roman" w:hAnsi="Times New Roman"/>
          <w:lang w:val="hu-HU"/>
        </w:rPr>
      </w:pPr>
    </w:p>
    <w:p w14:paraId="1EFF2437" w14:textId="77777777" w:rsidR="00B07C1D" w:rsidRPr="00314CC3" w:rsidRDefault="00B07C1D" w:rsidP="00B07C1D">
      <w:pPr>
        <w:pStyle w:val="NoSpacing"/>
        <w:jc w:val="center"/>
        <w:rPr>
          <w:rFonts w:ascii="Times New Roman" w:hAnsi="Times New Roman"/>
          <w:lang w:val="hu-HU"/>
        </w:rPr>
      </w:pPr>
      <w:r w:rsidRPr="00314CC3">
        <w:rPr>
          <w:rFonts w:ascii="Times New Roman" w:hAnsi="Times New Roman"/>
          <w:lang w:val="hu-HU"/>
        </w:rPr>
        <w:t xml:space="preserve">1. </w:t>
      </w:r>
      <w:r w:rsidR="008E10AB">
        <w:rPr>
          <w:rFonts w:ascii="Times New Roman" w:hAnsi="Times New Roman"/>
          <w:lang w:val="hu-HU"/>
        </w:rPr>
        <w:t>s</w:t>
      </w:r>
      <w:r w:rsidRPr="00314CC3">
        <w:rPr>
          <w:rFonts w:ascii="Times New Roman" w:hAnsi="Times New Roman"/>
          <w:lang w:val="hu-HU"/>
        </w:rPr>
        <w:t>zakasz</w:t>
      </w:r>
    </w:p>
    <w:p w14:paraId="3D1D16C4" w14:textId="77777777" w:rsidR="00B07C1D" w:rsidRPr="00314CC3" w:rsidRDefault="00B07C1D" w:rsidP="00B07C1D">
      <w:pPr>
        <w:pStyle w:val="NoSpacing"/>
        <w:jc w:val="center"/>
        <w:rPr>
          <w:rFonts w:ascii="Times New Roman" w:hAnsi="Times New Roman"/>
          <w:lang w:val="hu-HU"/>
        </w:rPr>
      </w:pPr>
    </w:p>
    <w:p w14:paraId="1FFF2D4E" w14:textId="77777777" w:rsidR="00B07C1D" w:rsidRPr="00314CC3" w:rsidRDefault="00014A50" w:rsidP="00B07C1D">
      <w:pPr>
        <w:pStyle w:val="NoSpacing"/>
        <w:ind w:firstLine="709"/>
        <w:jc w:val="both"/>
        <w:rPr>
          <w:rFonts w:ascii="Times New Roman" w:hAnsi="Times New Roman"/>
          <w:lang w:val="hu-HU"/>
        </w:rPr>
      </w:pPr>
      <w:r>
        <w:rPr>
          <w:rFonts w:ascii="Times New Roman" w:hAnsi="Times New Roman"/>
          <w:lang w:val="hu-HU"/>
        </w:rPr>
        <w:t>A testület jóváhagyja</w:t>
      </w:r>
      <w:r w:rsidR="00B07C1D" w:rsidRPr="00314CC3">
        <w:rPr>
          <w:rFonts w:ascii="Times New Roman" w:hAnsi="Times New Roman"/>
          <w:lang w:val="hu-HU"/>
        </w:rPr>
        <w:t xml:space="preserve"> ingatlan Topolya község köz</w:t>
      </w:r>
      <w:r>
        <w:rPr>
          <w:rFonts w:ascii="Times New Roman" w:hAnsi="Times New Roman"/>
          <w:lang w:val="hu-HU"/>
        </w:rPr>
        <w:t>tulajdonából</w:t>
      </w:r>
      <w:r w:rsidR="006215F9">
        <w:rPr>
          <w:rFonts w:ascii="Times New Roman" w:hAnsi="Times New Roman"/>
          <w:lang w:val="hu-HU"/>
        </w:rPr>
        <w:t xml:space="preserve"> való elidegenítési eljárásának</w:t>
      </w:r>
      <w:r>
        <w:rPr>
          <w:rFonts w:ascii="Times New Roman" w:hAnsi="Times New Roman"/>
          <w:lang w:val="hu-HU"/>
        </w:rPr>
        <w:t xml:space="preserve"> megkezdését</w:t>
      </w:r>
      <w:r w:rsidR="00B07C1D" w:rsidRPr="00314CC3">
        <w:rPr>
          <w:rFonts w:ascii="Times New Roman" w:hAnsi="Times New Roman"/>
          <w:lang w:val="hu-HU"/>
        </w:rPr>
        <w:t>, írás</w:t>
      </w:r>
      <w:r>
        <w:rPr>
          <w:rFonts w:ascii="Times New Roman" w:hAnsi="Times New Roman"/>
          <w:lang w:val="hu-HU"/>
        </w:rPr>
        <w:t>os</w:t>
      </w:r>
      <w:r w:rsidR="00B07C1D" w:rsidRPr="00314CC3">
        <w:rPr>
          <w:rFonts w:ascii="Times New Roman" w:hAnsi="Times New Roman"/>
          <w:lang w:val="hu-HU"/>
        </w:rPr>
        <w:t xml:space="preserve"> ajánlatok gyűjtésének eljárásában,</w:t>
      </w:r>
      <w:r w:rsidR="008E10AB">
        <w:rPr>
          <w:rFonts w:ascii="Times New Roman" w:hAnsi="Times New Roman"/>
          <w:lang w:val="hu-HU"/>
        </w:rPr>
        <w:t xml:space="preserve"> olyan áron, amely nem lehet alacsonyabb, mint az ingatlan becsült piaci értéke, melyet</w:t>
      </w:r>
      <w:r w:rsidR="001121F2">
        <w:rPr>
          <w:rFonts w:ascii="Times New Roman" w:hAnsi="Times New Roman"/>
          <w:lang w:val="hu-HU"/>
        </w:rPr>
        <w:t xml:space="preserve"> az illetékes szerv, illetve</w:t>
      </w:r>
      <w:r w:rsidR="008E10AB">
        <w:rPr>
          <w:rFonts w:ascii="Times New Roman" w:hAnsi="Times New Roman"/>
          <w:lang w:val="hu-HU"/>
        </w:rPr>
        <w:t xml:space="preserve"> </w:t>
      </w:r>
      <w:r w:rsidR="00FD3EA1">
        <w:rPr>
          <w:rFonts w:ascii="Times New Roman" w:hAnsi="Times New Roman"/>
          <w:lang w:val="hu-HU"/>
        </w:rPr>
        <w:t>engedéllyel rendelkező érték</w:t>
      </w:r>
      <w:r w:rsidR="008E10AB">
        <w:rPr>
          <w:rFonts w:ascii="Times New Roman" w:hAnsi="Times New Roman"/>
          <w:lang w:val="hu-HU"/>
        </w:rPr>
        <w:t>becslő állapít meg.</w:t>
      </w:r>
      <w:r w:rsidR="00B07C1D" w:rsidRPr="00314CC3">
        <w:rPr>
          <w:rFonts w:ascii="Times New Roman" w:hAnsi="Times New Roman"/>
          <w:lang w:val="hu-HU"/>
        </w:rPr>
        <w:t xml:space="preserve"> </w:t>
      </w:r>
    </w:p>
    <w:p w14:paraId="1B79C37C" w14:textId="77777777" w:rsidR="00B07C1D" w:rsidRPr="00314CC3" w:rsidRDefault="00B07C1D" w:rsidP="00B07C1D">
      <w:pPr>
        <w:pStyle w:val="NoSpacing"/>
        <w:jc w:val="both"/>
        <w:rPr>
          <w:rFonts w:ascii="Times New Roman" w:hAnsi="Times New Roman"/>
          <w:lang w:val="hu-HU"/>
        </w:rPr>
      </w:pPr>
    </w:p>
    <w:p w14:paraId="294D1DBA" w14:textId="77777777" w:rsidR="00B07C1D" w:rsidRPr="00314CC3" w:rsidRDefault="00B07C1D" w:rsidP="00B07C1D">
      <w:pPr>
        <w:pStyle w:val="NoSpacing"/>
        <w:jc w:val="center"/>
        <w:rPr>
          <w:rFonts w:ascii="Times New Roman" w:hAnsi="Times New Roman"/>
          <w:lang w:val="hu-HU"/>
        </w:rPr>
      </w:pPr>
      <w:r w:rsidRPr="00314CC3">
        <w:rPr>
          <w:rFonts w:ascii="Times New Roman" w:hAnsi="Times New Roman"/>
          <w:lang w:val="hu-HU"/>
        </w:rPr>
        <w:t xml:space="preserve">2. </w:t>
      </w:r>
      <w:r w:rsidR="002A2FFE">
        <w:rPr>
          <w:rFonts w:ascii="Times New Roman" w:hAnsi="Times New Roman"/>
          <w:lang w:val="hu-HU"/>
        </w:rPr>
        <w:t>s</w:t>
      </w:r>
      <w:r w:rsidRPr="00314CC3">
        <w:rPr>
          <w:rFonts w:ascii="Times New Roman" w:hAnsi="Times New Roman"/>
          <w:lang w:val="hu-HU"/>
        </w:rPr>
        <w:t>zakasz</w:t>
      </w:r>
    </w:p>
    <w:p w14:paraId="0E7A2C75" w14:textId="77777777" w:rsidR="00B07C1D" w:rsidRPr="00314CC3" w:rsidRDefault="00B07C1D" w:rsidP="00B07C1D">
      <w:pPr>
        <w:pStyle w:val="NoSpacing"/>
        <w:jc w:val="center"/>
        <w:rPr>
          <w:rFonts w:ascii="Times New Roman" w:hAnsi="Times New Roman"/>
          <w:lang w:val="hu-HU"/>
        </w:rPr>
      </w:pPr>
    </w:p>
    <w:p w14:paraId="00084DB7" w14:textId="3B753F8A" w:rsidR="00B07C1D" w:rsidRPr="00314CC3" w:rsidRDefault="00B07C1D" w:rsidP="00B07C1D">
      <w:pPr>
        <w:pStyle w:val="NoSpacing"/>
        <w:ind w:firstLine="709"/>
        <w:jc w:val="both"/>
        <w:rPr>
          <w:rFonts w:ascii="Times New Roman" w:hAnsi="Times New Roman"/>
          <w:lang w:val="hu-HU"/>
        </w:rPr>
      </w:pPr>
      <w:r w:rsidRPr="00314CC3">
        <w:rPr>
          <w:rFonts w:ascii="Times New Roman" w:hAnsi="Times New Roman"/>
          <w:lang w:val="hu-HU"/>
        </w:rPr>
        <w:t xml:space="preserve">Az elidegenítés tárgya a </w:t>
      </w:r>
      <w:proofErr w:type="spellStart"/>
      <w:r w:rsidR="00A826A5">
        <w:rPr>
          <w:rFonts w:ascii="Times New Roman" w:hAnsi="Times New Roman"/>
          <w:b/>
          <w:lang w:val="hu-HU"/>
        </w:rPr>
        <w:t>Felsőroglatica</w:t>
      </w:r>
      <w:proofErr w:type="spellEnd"/>
      <w:r w:rsidR="00F01A1C">
        <w:rPr>
          <w:rFonts w:ascii="Times New Roman" w:hAnsi="Times New Roman"/>
          <w:b/>
          <w:lang w:val="hu-HU"/>
        </w:rPr>
        <w:t xml:space="preserve"> k. k. </w:t>
      </w:r>
      <w:r w:rsidR="00A826A5">
        <w:rPr>
          <w:rFonts w:ascii="Times New Roman" w:hAnsi="Times New Roman"/>
          <w:b/>
          <w:lang w:val="hu-HU"/>
        </w:rPr>
        <w:t>1755</w:t>
      </w:r>
      <w:r w:rsidRPr="00314CC3">
        <w:rPr>
          <w:rFonts w:ascii="Times New Roman" w:hAnsi="Times New Roman"/>
          <w:b/>
          <w:lang w:val="hu-HU"/>
        </w:rPr>
        <w:t>. számú ingatlanlap</w:t>
      </w:r>
      <w:r w:rsidR="00F01A1C">
        <w:rPr>
          <w:rFonts w:ascii="Times New Roman" w:hAnsi="Times New Roman"/>
          <w:b/>
          <w:lang w:val="hu-HU"/>
        </w:rPr>
        <w:t>já</w:t>
      </w:r>
      <w:r w:rsidRPr="00314CC3">
        <w:rPr>
          <w:rFonts w:ascii="Times New Roman" w:hAnsi="Times New Roman"/>
          <w:b/>
          <w:lang w:val="hu-HU"/>
        </w:rPr>
        <w:t xml:space="preserve">ba </w:t>
      </w:r>
      <w:r w:rsidRPr="00314CC3">
        <w:rPr>
          <w:rFonts w:ascii="Times New Roman" w:hAnsi="Times New Roman"/>
          <w:lang w:val="hu-HU"/>
        </w:rPr>
        <w:t>bejegyzett ingatlan:</w:t>
      </w:r>
    </w:p>
    <w:p w14:paraId="79D0AE91" w14:textId="77777777" w:rsidR="00A826A5" w:rsidRDefault="004A568A" w:rsidP="00BD7507">
      <w:pPr>
        <w:pStyle w:val="ListParagraph"/>
        <w:numPr>
          <w:ilvl w:val="0"/>
          <w:numId w:val="3"/>
        </w:numPr>
        <w:spacing w:after="160" w:line="259" w:lineRule="auto"/>
        <w:jc w:val="both"/>
      </w:pPr>
      <w:r>
        <w:rPr>
          <w:b/>
        </w:rPr>
        <w:t>2</w:t>
      </w:r>
      <w:r w:rsidR="00A826A5">
        <w:rPr>
          <w:b/>
        </w:rPr>
        <w:t>403</w:t>
      </w:r>
      <w:r w:rsidR="00014A50">
        <w:rPr>
          <w:b/>
        </w:rPr>
        <w:t xml:space="preserve">. </w:t>
      </w:r>
      <w:proofErr w:type="spellStart"/>
      <w:r w:rsidR="00F4716E">
        <w:rPr>
          <w:b/>
        </w:rPr>
        <w:t>h</w:t>
      </w:r>
      <w:r w:rsidR="00014A50">
        <w:rPr>
          <w:b/>
        </w:rPr>
        <w:t>sz</w:t>
      </w:r>
      <w:proofErr w:type="spellEnd"/>
      <w:r w:rsidR="00014A50">
        <w:rPr>
          <w:b/>
        </w:rPr>
        <w:t>. telek</w:t>
      </w:r>
      <w:r w:rsidR="00D4484B" w:rsidRPr="00537BB8">
        <w:t>,</w:t>
      </w:r>
      <w:r w:rsidR="00A826A5">
        <w:t xml:space="preserve"> Legelő,</w:t>
      </w:r>
    </w:p>
    <w:p w14:paraId="1F96C64B" w14:textId="56C1994A" w:rsidR="00A826A5" w:rsidRDefault="00A826A5" w:rsidP="00BD7507">
      <w:pPr>
        <w:pStyle w:val="ListParagraph"/>
        <w:numPr>
          <w:ilvl w:val="0"/>
          <w:numId w:val="3"/>
        </w:numPr>
        <w:spacing w:after="160" w:line="259" w:lineRule="auto"/>
        <w:jc w:val="both"/>
      </w:pPr>
      <w:r>
        <w:t>1. számú</w:t>
      </w:r>
      <w:r w:rsidR="00D4484B" w:rsidRPr="00537BB8">
        <w:t xml:space="preserve"> telekrész,</w:t>
      </w:r>
      <w:r w:rsidR="00F4716E">
        <w:t xml:space="preserve"> </w:t>
      </w:r>
      <w:r w:rsidR="00D4484B" w:rsidRPr="00537BB8">
        <w:t>épület és egyéb objektum alatti földterület,</w:t>
      </w:r>
      <w:r>
        <w:t xml:space="preserve"> gazdasági épület,</w:t>
      </w:r>
      <w:r w:rsidR="00D4484B" w:rsidRPr="00537BB8">
        <w:t xml:space="preserve"> melynek területe </w:t>
      </w:r>
      <w:r>
        <w:t>692</w:t>
      </w:r>
      <w:r w:rsidR="00D4484B" w:rsidRPr="00537BB8">
        <w:t xml:space="preserve"> m</w:t>
      </w:r>
      <w:r w:rsidR="00D4484B" w:rsidRPr="00D4484B">
        <w:rPr>
          <w:vertAlign w:val="superscript"/>
        </w:rPr>
        <w:t>2</w:t>
      </w:r>
      <w:r w:rsidR="00D4484B" w:rsidRPr="00537BB8">
        <w:t xml:space="preserve">, </w:t>
      </w:r>
      <w:r w:rsidR="000F1A84" w:rsidRPr="00537BB8">
        <w:t>építési területen</w:t>
      </w:r>
      <w:r>
        <w:t xml:space="preserve"> kívüli építési telek</w:t>
      </w:r>
      <w:r w:rsidR="000F1A84">
        <w:t xml:space="preserve">, </w:t>
      </w:r>
    </w:p>
    <w:p w14:paraId="525DBC37" w14:textId="2E4D5CD3" w:rsidR="00A826A5" w:rsidRDefault="00A826A5" w:rsidP="00BD7507">
      <w:pPr>
        <w:pStyle w:val="ListParagraph"/>
        <w:numPr>
          <w:ilvl w:val="0"/>
          <w:numId w:val="3"/>
        </w:numPr>
        <w:spacing w:after="160" w:line="259" w:lineRule="auto"/>
        <w:jc w:val="both"/>
      </w:pPr>
      <w:r>
        <w:t>3. számú</w:t>
      </w:r>
      <w:r w:rsidR="000F1A84">
        <w:t xml:space="preserve"> </w:t>
      </w:r>
      <w:r>
        <w:t>telek</w:t>
      </w:r>
      <w:r w:rsidR="000F1A84">
        <w:t xml:space="preserve">rész, </w:t>
      </w:r>
      <w:r w:rsidRPr="00537BB8">
        <w:t>épület és egyéb objektum alatti földterület,</w:t>
      </w:r>
      <w:r>
        <w:t xml:space="preserve"> gazdasági épület,</w:t>
      </w:r>
      <w:r w:rsidRPr="00537BB8">
        <w:t xml:space="preserve"> melynek területe </w:t>
      </w:r>
      <w:r>
        <w:t>156</w:t>
      </w:r>
      <w:r w:rsidRPr="00537BB8">
        <w:t xml:space="preserve"> m</w:t>
      </w:r>
      <w:r w:rsidRPr="00D4484B">
        <w:rPr>
          <w:vertAlign w:val="superscript"/>
        </w:rPr>
        <w:t>2</w:t>
      </w:r>
      <w:r w:rsidRPr="00537BB8">
        <w:t>, építési területen</w:t>
      </w:r>
      <w:r>
        <w:t xml:space="preserve"> kívüli építési telek,</w:t>
      </w:r>
      <w:r w:rsidR="00206B2A">
        <w:t xml:space="preserve"> </w:t>
      </w:r>
    </w:p>
    <w:p w14:paraId="37A6F553" w14:textId="57559123" w:rsidR="00A826A5" w:rsidRDefault="00A826A5" w:rsidP="00BD7507">
      <w:pPr>
        <w:pStyle w:val="ListParagraph"/>
        <w:numPr>
          <w:ilvl w:val="0"/>
          <w:numId w:val="3"/>
        </w:numPr>
        <w:spacing w:after="160" w:line="259" w:lineRule="auto"/>
        <w:jc w:val="both"/>
      </w:pPr>
      <w:r>
        <w:t>5</w:t>
      </w:r>
      <w:r>
        <w:t xml:space="preserve">. számú telekrész, </w:t>
      </w:r>
      <w:r w:rsidRPr="00537BB8">
        <w:t>épület és egyéb objektum alatti földterület,</w:t>
      </w:r>
      <w:r>
        <w:t xml:space="preserve"> gazdasági épület,</w:t>
      </w:r>
      <w:r w:rsidRPr="00537BB8">
        <w:t xml:space="preserve"> melynek területe </w:t>
      </w:r>
      <w:r>
        <w:t>33</w:t>
      </w:r>
      <w:r w:rsidRPr="00537BB8">
        <w:t xml:space="preserve"> m</w:t>
      </w:r>
      <w:r w:rsidRPr="00D4484B">
        <w:rPr>
          <w:vertAlign w:val="superscript"/>
        </w:rPr>
        <w:t>2</w:t>
      </w:r>
      <w:r w:rsidRPr="00537BB8">
        <w:t>, építési területen</w:t>
      </w:r>
      <w:r>
        <w:t xml:space="preserve"> kívüli építési telek,</w:t>
      </w:r>
    </w:p>
    <w:p w14:paraId="599A045A" w14:textId="1D2815FB" w:rsidR="00D4484B" w:rsidRPr="00537BB8" w:rsidRDefault="00A826A5" w:rsidP="00BD7507">
      <w:pPr>
        <w:pStyle w:val="ListParagraph"/>
        <w:numPr>
          <w:ilvl w:val="0"/>
          <w:numId w:val="3"/>
        </w:numPr>
        <w:spacing w:after="160" w:line="259" w:lineRule="auto"/>
        <w:jc w:val="both"/>
      </w:pPr>
      <w:r>
        <w:t>11</w:t>
      </w:r>
      <w:r>
        <w:t xml:space="preserve">. számú telekrész, </w:t>
      </w:r>
      <w:r w:rsidRPr="00537BB8">
        <w:t xml:space="preserve">épület és egyéb objektum </w:t>
      </w:r>
      <w:r>
        <w:t>melletti</w:t>
      </w:r>
      <w:r w:rsidRPr="00537BB8">
        <w:t xml:space="preserve"> földterület,</w:t>
      </w:r>
      <w:r>
        <w:t xml:space="preserve"> </w:t>
      </w:r>
      <w:r w:rsidRPr="00537BB8">
        <w:t xml:space="preserve">melynek területe </w:t>
      </w:r>
      <w:r>
        <w:t>10.615</w:t>
      </w:r>
      <w:r w:rsidRPr="00537BB8">
        <w:t xml:space="preserve"> m</w:t>
      </w:r>
      <w:r w:rsidRPr="00D4484B">
        <w:rPr>
          <w:vertAlign w:val="superscript"/>
        </w:rPr>
        <w:t>2</w:t>
      </w:r>
      <w:r w:rsidRPr="00537BB8">
        <w:t>, építési területen</w:t>
      </w:r>
      <w:r>
        <w:t xml:space="preserve"> kívüli építési telek</w:t>
      </w:r>
      <w:r>
        <w:t xml:space="preserve">, </w:t>
      </w:r>
      <w:r w:rsidR="00D4484B" w:rsidRPr="00537BB8">
        <w:t xml:space="preserve">a teljes terület </w:t>
      </w:r>
      <w:r>
        <w:t>11.496</w:t>
      </w:r>
      <w:r w:rsidR="00D4484B" w:rsidRPr="00537BB8">
        <w:t xml:space="preserve"> m</w:t>
      </w:r>
      <w:r w:rsidR="00D4484B" w:rsidRPr="00D4484B">
        <w:rPr>
          <w:vertAlign w:val="superscript"/>
        </w:rPr>
        <w:t>2</w:t>
      </w:r>
      <w:r w:rsidR="00D4484B" w:rsidRPr="00537BB8">
        <w:t>,</w:t>
      </w:r>
      <w:r w:rsidR="00BD7507">
        <w:t xml:space="preserve"> </w:t>
      </w:r>
      <w:r w:rsidR="00BD7507" w:rsidRPr="00BD7507">
        <w:t>Topolya község</w:t>
      </w:r>
      <w:r w:rsidR="00206B2A">
        <w:t>,</w:t>
      </w:r>
      <w:r w:rsidR="00BD7507" w:rsidRPr="00BD7507">
        <w:t xml:space="preserve"> </w:t>
      </w:r>
      <w:r w:rsidR="00206B2A" w:rsidRPr="00BD7507">
        <w:t xml:space="preserve">Topolya, Tito </w:t>
      </w:r>
      <w:r w:rsidR="00206B2A">
        <w:t>marsall utca 30., köztulajdona</w:t>
      </w:r>
      <w:r w:rsidR="00BD7507" w:rsidRPr="00BD7507">
        <w:t xml:space="preserve"> </w:t>
      </w:r>
      <w:r w:rsidR="00BD7507">
        <w:t>1/1 részben</w:t>
      </w:r>
      <w:r w:rsidR="00D4484B">
        <w:t>.</w:t>
      </w:r>
      <w:r w:rsidR="00BD7507">
        <w:t xml:space="preserve"> </w:t>
      </w:r>
    </w:p>
    <w:p w14:paraId="04A5C43F" w14:textId="77777777" w:rsidR="00B07C1D" w:rsidRDefault="00B07C1D" w:rsidP="00B07C1D">
      <w:pPr>
        <w:pStyle w:val="NoSpacing"/>
        <w:jc w:val="both"/>
        <w:rPr>
          <w:rFonts w:ascii="Times New Roman" w:hAnsi="Times New Roman"/>
          <w:lang w:val="hu-HU"/>
        </w:rPr>
      </w:pPr>
      <w:r w:rsidRPr="00314CC3">
        <w:rPr>
          <w:rFonts w:ascii="Times New Roman" w:hAnsi="Times New Roman"/>
          <w:lang w:val="hu-HU"/>
        </w:rPr>
        <w:t xml:space="preserve"> </w:t>
      </w:r>
    </w:p>
    <w:p w14:paraId="666653F1" w14:textId="77777777" w:rsidR="00B07C1D" w:rsidRPr="00314CC3" w:rsidRDefault="00B07C1D" w:rsidP="00B07C1D">
      <w:pPr>
        <w:pStyle w:val="NoSpacing"/>
        <w:jc w:val="center"/>
        <w:rPr>
          <w:rFonts w:ascii="Times New Roman" w:hAnsi="Times New Roman"/>
          <w:lang w:val="hu-HU"/>
        </w:rPr>
      </w:pPr>
      <w:r w:rsidRPr="00314CC3">
        <w:rPr>
          <w:rFonts w:ascii="Times New Roman" w:hAnsi="Times New Roman"/>
          <w:lang w:val="hu-HU"/>
        </w:rPr>
        <w:t xml:space="preserve">3. </w:t>
      </w:r>
      <w:r w:rsidR="00F10371">
        <w:rPr>
          <w:rFonts w:ascii="Times New Roman" w:hAnsi="Times New Roman"/>
          <w:lang w:val="hu-HU"/>
        </w:rPr>
        <w:t>s</w:t>
      </w:r>
      <w:r w:rsidRPr="00314CC3">
        <w:rPr>
          <w:rFonts w:ascii="Times New Roman" w:hAnsi="Times New Roman"/>
          <w:lang w:val="hu-HU"/>
        </w:rPr>
        <w:t>zakasz</w:t>
      </w:r>
    </w:p>
    <w:p w14:paraId="7EAF2115" w14:textId="77777777" w:rsidR="002D3B19" w:rsidRDefault="002D3B19"/>
    <w:p w14:paraId="1F952F59" w14:textId="1118672C" w:rsidR="003421E4" w:rsidRDefault="00F10371" w:rsidP="00AE3407">
      <w:pPr>
        <w:jc w:val="both"/>
      </w:pPr>
      <w:r>
        <w:tab/>
      </w:r>
      <w:r w:rsidR="00AE3407">
        <w:t xml:space="preserve">A jelen határozat 2. szakaszában foglalt ingatlan piaci értékét a szabadkai </w:t>
      </w:r>
      <w:proofErr w:type="spellStart"/>
      <w:r w:rsidR="00AE3407">
        <w:t>Procena</w:t>
      </w:r>
      <w:proofErr w:type="spellEnd"/>
      <w:r w:rsidR="00AE3407">
        <w:t xml:space="preserve"> Plus Igazságügyi Szakértői és Mérnöki Kft. állapította meg, melynek </w:t>
      </w:r>
      <w:r w:rsidR="00FD3EA1">
        <w:t>szűkebb szakterülete az építőipar</w:t>
      </w:r>
      <w:r w:rsidR="004179AA">
        <w:t xml:space="preserve"> – ingatlanok azonosítása és értékbecslése, ingatlan-értékbecslés és hasonlók, s a céget az igazságügyi minisztérium </w:t>
      </w:r>
      <w:r w:rsidR="004179AA" w:rsidRPr="004179AA">
        <w:t>740-05-03399/10-03</w:t>
      </w:r>
      <w:r w:rsidR="004179AA">
        <w:t xml:space="preserve"> számú, 2011. 11. 2-án kelt végzésével bejegyezték a szakértői vizsgálatot végző jogi személyek jegyzékébe,</w:t>
      </w:r>
      <w:r w:rsidR="00366DB6">
        <w:t xml:space="preserve"> </w:t>
      </w:r>
      <w:r w:rsidR="004179AA">
        <w:t xml:space="preserve">dr. </w:t>
      </w:r>
      <w:proofErr w:type="spellStart"/>
      <w:r w:rsidR="004179AA">
        <w:t>Miomir</w:t>
      </w:r>
      <w:proofErr w:type="spellEnd"/>
      <w:r w:rsidR="004179AA">
        <w:t xml:space="preserve"> </w:t>
      </w:r>
      <w:proofErr w:type="spellStart"/>
      <w:r w:rsidR="004179AA">
        <w:t>Paovica</w:t>
      </w:r>
      <w:proofErr w:type="spellEnd"/>
      <w:r w:rsidR="004179AA">
        <w:t xml:space="preserve"> okl. építőmérnök, építőipari igazságügyi szakértő és engedéllyel rendelkező ingatlan-értékbecslő, </w:t>
      </w:r>
      <w:r w:rsidR="00893384">
        <w:t xml:space="preserve">aki </w:t>
      </w:r>
      <w:r w:rsidR="00CF2E93">
        <w:t>az ingatlan</w:t>
      </w:r>
      <w:r w:rsidR="00366DB6">
        <w:t xml:space="preserve"> (</w:t>
      </w:r>
      <w:r w:rsidR="00197E3C">
        <w:t>gazdasági épületek</w:t>
      </w:r>
      <w:r w:rsidR="00C86735">
        <w:t xml:space="preserve">, </w:t>
      </w:r>
      <w:r w:rsidR="00197E3C">
        <w:t xml:space="preserve">amelyek </w:t>
      </w:r>
      <w:proofErr w:type="spellStart"/>
      <w:r w:rsidR="00197E3C">
        <w:t>Felsőroglatica</w:t>
      </w:r>
      <w:proofErr w:type="spellEnd"/>
      <w:r w:rsidR="00197E3C">
        <w:t xml:space="preserve"> </w:t>
      </w:r>
      <w:proofErr w:type="spellStart"/>
      <w:r w:rsidR="00197E3C">
        <w:t>k.k</w:t>
      </w:r>
      <w:proofErr w:type="spellEnd"/>
      <w:r w:rsidR="00197E3C">
        <w:t xml:space="preserve">. 2403. </w:t>
      </w:r>
      <w:proofErr w:type="spellStart"/>
      <w:r w:rsidR="00197E3C">
        <w:t>hsz</w:t>
      </w:r>
      <w:proofErr w:type="spellEnd"/>
      <w:r w:rsidR="00197E3C">
        <w:t xml:space="preserve">. telkén épültek, Legelő, </w:t>
      </w:r>
      <w:proofErr w:type="spellStart"/>
      <w:r w:rsidR="00197E3C">
        <w:t>Tomislavci</w:t>
      </w:r>
      <w:proofErr w:type="spellEnd"/>
      <w:r w:rsidR="005554BA">
        <w:t>) piaci értékének becsléséről szóló, 202</w:t>
      </w:r>
      <w:r w:rsidR="00197E3C">
        <w:t>5</w:t>
      </w:r>
      <w:r w:rsidR="005554BA">
        <w:t xml:space="preserve">. </w:t>
      </w:r>
      <w:r w:rsidR="00197E3C">
        <w:t>04</w:t>
      </w:r>
      <w:r w:rsidR="005554BA">
        <w:t>. 1</w:t>
      </w:r>
      <w:r w:rsidR="00197E3C">
        <w:t>4</w:t>
      </w:r>
      <w:r w:rsidR="005554BA">
        <w:t xml:space="preserve">-i jelentésében megállapítja, hogy </w:t>
      </w:r>
      <w:r w:rsidR="004B0A87">
        <w:t>az ingatlan</w:t>
      </w:r>
      <w:r w:rsidR="00197E3C">
        <w:t>ok</w:t>
      </w:r>
      <w:r w:rsidR="004B0A87">
        <w:t xml:space="preserve"> piaci értéke </w:t>
      </w:r>
      <w:r w:rsidR="00197E3C" w:rsidRPr="00197E3C">
        <w:t xml:space="preserve">2.731.244,64 </w:t>
      </w:r>
      <w:r w:rsidR="006215F9">
        <w:t>dinár összegben</w:t>
      </w:r>
      <w:r w:rsidR="004B0A87">
        <w:t xml:space="preserve"> került</w:t>
      </w:r>
      <w:r w:rsidR="006215F9" w:rsidRPr="00DA529F">
        <w:rPr>
          <w:lang w:val="sr-Cyrl-RS"/>
        </w:rPr>
        <w:t xml:space="preserve"> </w:t>
      </w:r>
      <w:r w:rsidR="003421E4">
        <w:t xml:space="preserve">megállapításra, ami az értékbecslés napján a Szerb Nemzeti Bank hivatalos középárfolyama szerint </w:t>
      </w:r>
      <w:r w:rsidR="004213DA">
        <w:rPr>
          <w:b/>
        </w:rPr>
        <w:t>2</w:t>
      </w:r>
      <w:r w:rsidR="00197E3C">
        <w:rPr>
          <w:b/>
        </w:rPr>
        <w:t>3.3</w:t>
      </w:r>
      <w:r w:rsidR="004213DA">
        <w:rPr>
          <w:b/>
        </w:rPr>
        <w:t>00</w:t>
      </w:r>
      <w:r w:rsidR="003421E4">
        <w:rPr>
          <w:b/>
        </w:rPr>
        <w:t>,00 euró.</w:t>
      </w:r>
      <w:r w:rsidR="003421E4">
        <w:t xml:space="preserve"> </w:t>
      </w:r>
    </w:p>
    <w:p w14:paraId="3946219B" w14:textId="77777777" w:rsidR="003421E4" w:rsidRDefault="003421E4" w:rsidP="00AE3407">
      <w:pPr>
        <w:jc w:val="both"/>
      </w:pPr>
    </w:p>
    <w:p w14:paraId="5283FA98" w14:textId="77777777" w:rsidR="006215F9" w:rsidRDefault="006215F9" w:rsidP="003421E4">
      <w:pPr>
        <w:jc w:val="center"/>
      </w:pPr>
    </w:p>
    <w:p w14:paraId="2C317768" w14:textId="77777777" w:rsidR="00F10371" w:rsidRDefault="003421E4" w:rsidP="003421E4">
      <w:pPr>
        <w:jc w:val="center"/>
      </w:pPr>
      <w:r>
        <w:t>4. szakasz</w:t>
      </w:r>
    </w:p>
    <w:p w14:paraId="00BE90A0" w14:textId="77777777" w:rsidR="003421E4" w:rsidRDefault="003421E4" w:rsidP="003421E4">
      <w:pPr>
        <w:jc w:val="center"/>
      </w:pPr>
    </w:p>
    <w:p w14:paraId="29BEF450" w14:textId="77777777" w:rsidR="008A4FE1" w:rsidRPr="000374E7" w:rsidRDefault="008A4FE1" w:rsidP="003421E4">
      <w:pPr>
        <w:jc w:val="both"/>
      </w:pPr>
      <w:r>
        <w:tab/>
        <w:t xml:space="preserve">A Községi Elnök felhatalmazást kap, hogy külön végzésben megalakítsa </w:t>
      </w:r>
      <w:r w:rsidR="000374E7">
        <w:t xml:space="preserve">az Írásos Ajánlatok Begyűjtési Eljárását Lefolytató Bizottságot és kinevezze tagjait, amely Bizottságnak elnöke és négy tagja van, s amely köteles mindenben a törvény és a törvénynél alacsonyabb rendű aktusok előírásaival, valamint a községi határozattal összhangban elkészíteni az írásos ajánlatok begyűjtésére vonatkozó hirdetés szövegét, valamint lefolytatni az írásos ajánlatok begyűjtési eljárását a jelen határozat 2. szakaszában foglalt ingatlan elidegenítése céljából. </w:t>
      </w:r>
    </w:p>
    <w:p w14:paraId="1DAF5EA8" w14:textId="77777777" w:rsidR="008A4FE1" w:rsidRDefault="008A4FE1" w:rsidP="003421E4">
      <w:pPr>
        <w:jc w:val="both"/>
      </w:pPr>
    </w:p>
    <w:p w14:paraId="6BCF1DD8" w14:textId="77777777" w:rsidR="00D11151" w:rsidRDefault="00CC1863" w:rsidP="00CC1863">
      <w:pPr>
        <w:jc w:val="center"/>
        <w:rPr>
          <w:szCs w:val="22"/>
        </w:rPr>
      </w:pPr>
      <w:r>
        <w:rPr>
          <w:szCs w:val="22"/>
        </w:rPr>
        <w:t>5. szakasz</w:t>
      </w:r>
    </w:p>
    <w:p w14:paraId="03B8E29E" w14:textId="77777777" w:rsidR="00CC1863" w:rsidRDefault="00CC1863" w:rsidP="00CC1863">
      <w:pPr>
        <w:jc w:val="center"/>
        <w:rPr>
          <w:szCs w:val="22"/>
        </w:rPr>
      </w:pPr>
    </w:p>
    <w:p w14:paraId="66DA7BEC" w14:textId="77777777" w:rsidR="00664A95" w:rsidRDefault="00CC1863" w:rsidP="00CC1863">
      <w:pPr>
        <w:jc w:val="both"/>
        <w:rPr>
          <w:szCs w:val="22"/>
        </w:rPr>
      </w:pPr>
      <w:r>
        <w:rPr>
          <w:szCs w:val="22"/>
        </w:rPr>
        <w:tab/>
      </w:r>
      <w:r w:rsidR="00DB6A61">
        <w:rPr>
          <w:szCs w:val="22"/>
        </w:rPr>
        <w:t>A jelen határozat hatályba lépését követően a Községi Képviselő-testület, a jelen határozat 4. szakaszában foglalt Bizottság javaslatára, hirdetést tesz közzé írásos ajánlatok begyűjtésére a jelen határozat 2. szakaszában foglalt ingatlan elidegenítése céljából</w:t>
      </w:r>
      <w:r w:rsidR="004A780F">
        <w:rPr>
          <w:szCs w:val="22"/>
        </w:rPr>
        <w:t>, a hirdetés pedig megjelenik egy, a Szerb Köztársaság területén forgalmazott napilapban, valamint a község hirdetőtábláján és hivatalos honlapján.</w:t>
      </w:r>
    </w:p>
    <w:p w14:paraId="66D0F33C" w14:textId="77777777" w:rsidR="004A780F" w:rsidRDefault="004A780F" w:rsidP="00CC1863">
      <w:pPr>
        <w:jc w:val="both"/>
        <w:rPr>
          <w:szCs w:val="22"/>
        </w:rPr>
      </w:pPr>
      <w:r>
        <w:rPr>
          <w:szCs w:val="22"/>
        </w:rPr>
        <w:tab/>
        <w:t xml:space="preserve">A hirdetés a község hivatalos honlapján való megjelenésétől számított 30 napig van nyitva, amely határidőn belül az érdeklődők lezárt borítékban átadhatják írásos ajánlataikat. </w:t>
      </w:r>
    </w:p>
    <w:p w14:paraId="79103137" w14:textId="77777777" w:rsidR="00664A95" w:rsidRDefault="00664A95" w:rsidP="00CC1863">
      <w:pPr>
        <w:jc w:val="both"/>
        <w:rPr>
          <w:szCs w:val="22"/>
        </w:rPr>
      </w:pPr>
    </w:p>
    <w:p w14:paraId="7D3D04CF" w14:textId="77777777" w:rsidR="00CC1863" w:rsidRDefault="00664A95" w:rsidP="00664A95">
      <w:pPr>
        <w:jc w:val="center"/>
        <w:rPr>
          <w:szCs w:val="22"/>
        </w:rPr>
      </w:pPr>
      <w:r>
        <w:rPr>
          <w:szCs w:val="22"/>
        </w:rPr>
        <w:t>6. szakasz</w:t>
      </w:r>
    </w:p>
    <w:p w14:paraId="28EE86E4" w14:textId="77777777" w:rsidR="00664A95" w:rsidRDefault="00664A95" w:rsidP="00664A95">
      <w:pPr>
        <w:jc w:val="center"/>
        <w:rPr>
          <w:szCs w:val="22"/>
        </w:rPr>
      </w:pPr>
    </w:p>
    <w:p w14:paraId="61B99EE2" w14:textId="77777777" w:rsidR="00664A95" w:rsidRDefault="00664A95" w:rsidP="00664A95">
      <w:pPr>
        <w:jc w:val="both"/>
        <w:rPr>
          <w:szCs w:val="22"/>
        </w:rPr>
      </w:pPr>
      <w:r>
        <w:rPr>
          <w:szCs w:val="22"/>
        </w:rPr>
        <w:tab/>
        <w:t>E határozat a Topolya Község Hivatalos L</w:t>
      </w:r>
      <w:r w:rsidR="00250F87">
        <w:rPr>
          <w:szCs w:val="22"/>
        </w:rPr>
        <w:t>apjában való megjelenésétől számított</w:t>
      </w:r>
      <w:r w:rsidR="004A780F">
        <w:rPr>
          <w:szCs w:val="22"/>
        </w:rPr>
        <w:t xml:space="preserve"> nyolcadik </w:t>
      </w:r>
      <w:r>
        <w:rPr>
          <w:szCs w:val="22"/>
        </w:rPr>
        <w:t xml:space="preserve">napon lép hatályba. </w:t>
      </w:r>
    </w:p>
    <w:p w14:paraId="29113DF0" w14:textId="77777777" w:rsidR="006F34CD" w:rsidRDefault="006F34CD" w:rsidP="00664A95">
      <w:pPr>
        <w:jc w:val="both"/>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6F34CD" w14:paraId="293EA8F6" w14:textId="77777777" w:rsidTr="006F34CD">
        <w:tc>
          <w:tcPr>
            <w:tcW w:w="4644" w:type="dxa"/>
          </w:tcPr>
          <w:p w14:paraId="1581E101" w14:textId="77777777" w:rsidR="006F34CD" w:rsidRDefault="006F34CD" w:rsidP="00664A95">
            <w:pPr>
              <w:jc w:val="both"/>
            </w:pPr>
            <w:r>
              <w:t>TOPOLYA KÖZSÉGI</w:t>
            </w:r>
          </w:p>
          <w:p w14:paraId="32A19B69" w14:textId="77777777" w:rsidR="006F34CD" w:rsidRDefault="006F34CD" w:rsidP="00664A95">
            <w:pPr>
              <w:jc w:val="both"/>
            </w:pPr>
            <w:r>
              <w:t>KÉPVISELŐ-TESTÜLETE</w:t>
            </w:r>
          </w:p>
          <w:p w14:paraId="7CD3DFE3" w14:textId="77777777" w:rsidR="006F34CD" w:rsidRDefault="006F34CD" w:rsidP="00664A95">
            <w:pPr>
              <w:jc w:val="both"/>
            </w:pPr>
            <w:r>
              <w:t>Szám:</w:t>
            </w:r>
          </w:p>
          <w:p w14:paraId="6740F203" w14:textId="77777777" w:rsidR="006F34CD" w:rsidRDefault="006F34CD" w:rsidP="00664A95">
            <w:pPr>
              <w:jc w:val="both"/>
            </w:pPr>
            <w:r>
              <w:t>Kelt:</w:t>
            </w:r>
          </w:p>
          <w:p w14:paraId="41914251" w14:textId="77777777" w:rsidR="006F34CD" w:rsidRDefault="006F34CD" w:rsidP="00664A95">
            <w:pPr>
              <w:jc w:val="both"/>
            </w:pPr>
            <w:r>
              <w:t>Topolya</w:t>
            </w:r>
          </w:p>
        </w:tc>
        <w:tc>
          <w:tcPr>
            <w:tcW w:w="4644" w:type="dxa"/>
            <w:vAlign w:val="bottom"/>
          </w:tcPr>
          <w:p w14:paraId="7CAA0679" w14:textId="77777777" w:rsidR="006F34CD" w:rsidRDefault="006F34CD" w:rsidP="006F34CD">
            <w:pPr>
              <w:jc w:val="center"/>
            </w:pPr>
            <w:r>
              <w:rPr>
                <w:lang w:val="sr-Latn-RS"/>
              </w:rPr>
              <w:t>Saša Srdić</w:t>
            </w:r>
            <w:r>
              <w:t>, s.k.</w:t>
            </w:r>
          </w:p>
          <w:p w14:paraId="21C74320" w14:textId="77777777" w:rsidR="006F34CD" w:rsidRDefault="006F34CD" w:rsidP="006F34CD">
            <w:pPr>
              <w:jc w:val="center"/>
            </w:pPr>
            <w:r>
              <w:t>a Községi Képviselő-testület</w:t>
            </w:r>
          </w:p>
          <w:p w14:paraId="7466DD24" w14:textId="77777777" w:rsidR="006F34CD" w:rsidRPr="006F34CD" w:rsidRDefault="006F34CD" w:rsidP="006F34CD">
            <w:pPr>
              <w:jc w:val="center"/>
            </w:pPr>
            <w:r>
              <w:t>elnöke</w:t>
            </w:r>
          </w:p>
        </w:tc>
      </w:tr>
    </w:tbl>
    <w:p w14:paraId="63E4BB02" w14:textId="77777777" w:rsidR="006F34CD" w:rsidRDefault="006F34CD" w:rsidP="00664A95">
      <w:pPr>
        <w:jc w:val="both"/>
      </w:pPr>
    </w:p>
    <w:p w14:paraId="58E72D2B" w14:textId="77777777" w:rsidR="006F34CD" w:rsidRDefault="006F34CD" w:rsidP="00664A95">
      <w:pPr>
        <w:jc w:val="both"/>
      </w:pPr>
    </w:p>
    <w:p w14:paraId="37BCA49C" w14:textId="77777777" w:rsidR="006F34CD" w:rsidRDefault="007F639B" w:rsidP="007F639B">
      <w:pPr>
        <w:jc w:val="center"/>
        <w:rPr>
          <w:b/>
        </w:rPr>
      </w:pPr>
      <w:r>
        <w:rPr>
          <w:b/>
        </w:rPr>
        <w:t>I n d o k o l á s</w:t>
      </w:r>
    </w:p>
    <w:p w14:paraId="5B03D447" w14:textId="77777777" w:rsidR="007F639B" w:rsidRDefault="007F639B" w:rsidP="007F639B">
      <w:pPr>
        <w:jc w:val="center"/>
        <w:rPr>
          <w:b/>
        </w:rPr>
      </w:pPr>
    </w:p>
    <w:p w14:paraId="3CF39F4E" w14:textId="77777777" w:rsidR="007F639B" w:rsidRDefault="007F639B" w:rsidP="007F639B">
      <w:pPr>
        <w:jc w:val="both"/>
      </w:pPr>
      <w:r>
        <w:t>I. JOGALAP:</w:t>
      </w:r>
    </w:p>
    <w:p w14:paraId="6933424F" w14:textId="7742483B" w:rsidR="007F639B" w:rsidRDefault="007F639B" w:rsidP="007F639B">
      <w:pPr>
        <w:jc w:val="both"/>
        <w:rPr>
          <w:szCs w:val="22"/>
        </w:rPr>
      </w:pPr>
      <w:r>
        <w:tab/>
      </w:r>
      <w:r w:rsidRPr="00314CC3">
        <w:t>A köztulajdonról szóló törvény 27. szakaszának 10. bekezdése (</w:t>
      </w:r>
      <w:r w:rsidR="005A09AF">
        <w:t xml:space="preserve">Az </w:t>
      </w:r>
      <w:r w:rsidR="005A09AF" w:rsidRPr="00314CC3">
        <w:t>S</w:t>
      </w:r>
      <w:r w:rsidR="005A09AF">
        <w:t>Z</w:t>
      </w:r>
      <w:r w:rsidR="005A09AF" w:rsidRPr="00314CC3">
        <w:t xml:space="preserve">K Hivatalos Közlönye, </w:t>
      </w:r>
      <w:r w:rsidR="005A09AF" w:rsidRPr="00560727">
        <w:t>72/2011</w:t>
      </w:r>
      <w:r w:rsidR="005A09AF">
        <w:t>.</w:t>
      </w:r>
      <w:r w:rsidR="005A09AF" w:rsidRPr="00560727">
        <w:t>, 88/2013</w:t>
      </w:r>
      <w:r w:rsidR="005A09AF">
        <w:t>.</w:t>
      </w:r>
      <w:r w:rsidR="005A09AF" w:rsidRPr="00560727">
        <w:t>, 105/2014</w:t>
      </w:r>
      <w:r w:rsidR="005A09AF">
        <w:t>.</w:t>
      </w:r>
      <w:r w:rsidR="005A09AF" w:rsidRPr="00560727">
        <w:t>, 104/2016</w:t>
      </w:r>
      <w:r w:rsidR="005A09AF">
        <w:t>. - másik törvény,</w:t>
      </w:r>
      <w:r w:rsidR="005A09AF" w:rsidRPr="00314CC3">
        <w:t xml:space="preserve"> </w:t>
      </w:r>
      <w:r w:rsidR="005A09AF" w:rsidRPr="00560727">
        <w:t>108/2016</w:t>
      </w:r>
      <w:r w:rsidR="005A09AF">
        <w:t>.</w:t>
      </w:r>
      <w:r w:rsidR="005A09AF" w:rsidRPr="00560727">
        <w:t>, 113/2017</w:t>
      </w:r>
      <w:r w:rsidR="005A09AF">
        <w:t>.</w:t>
      </w:r>
      <w:r w:rsidR="005A09AF" w:rsidRPr="00560727">
        <w:t>, 95/2018</w:t>
      </w:r>
      <w:r w:rsidR="005A09AF">
        <w:t>.</w:t>
      </w:r>
      <w:r w:rsidR="009927CC">
        <w:t>,</w:t>
      </w:r>
      <w:r w:rsidR="005A09AF" w:rsidRPr="00560727">
        <w:t xml:space="preserve"> 153/2020</w:t>
      </w:r>
      <w:r w:rsidR="005A09AF">
        <w:t>.</w:t>
      </w:r>
      <w:r w:rsidR="009927CC">
        <w:t xml:space="preserve"> és 94/2024.</w:t>
      </w:r>
      <w:r w:rsidR="005A09AF">
        <w:t xml:space="preserve"> </w:t>
      </w:r>
      <w:r w:rsidR="005A09AF" w:rsidRPr="00314CC3">
        <w:t>szám</w:t>
      </w:r>
      <w:r w:rsidRPr="00314CC3">
        <w:t>)</w:t>
      </w:r>
      <w:r w:rsidR="002B1CA8">
        <w:t xml:space="preserve"> előírja, hogy</w:t>
      </w:r>
      <w:r w:rsidR="002B1CA8" w:rsidRPr="0091374A">
        <w:rPr>
          <w:szCs w:val="22"/>
        </w:rPr>
        <w:t xml:space="preserve"> a helyi önkormányzat tulajdonába tartozó javak beszerzéséről és az ezekkel való rendelkezésről, a törvény által előírt feltételek mellett, a helyi önkormányzat törvénnyel, és az illető önkormányzat alapszabályával kijelölt szerve dönt.</w:t>
      </w:r>
    </w:p>
    <w:p w14:paraId="6E83BBC5" w14:textId="77777777" w:rsidR="007B65AC" w:rsidRDefault="002B1CA8" w:rsidP="007F639B">
      <w:pPr>
        <w:jc w:val="both"/>
        <w:rPr>
          <w:szCs w:val="22"/>
        </w:rPr>
      </w:pPr>
      <w:r>
        <w:tab/>
      </w:r>
      <w:r w:rsidRPr="0091374A">
        <w:rPr>
          <w:szCs w:val="22"/>
        </w:rPr>
        <w:t xml:space="preserve">Az ingatlanok közvetlen megegyezéssel </w:t>
      </w:r>
      <w:r>
        <w:rPr>
          <w:szCs w:val="22"/>
        </w:rPr>
        <w:t>történő</w:t>
      </w:r>
      <w:r w:rsidRPr="0091374A">
        <w:rPr>
          <w:szCs w:val="22"/>
        </w:rPr>
        <w:t xml:space="preserve"> megszerzésének és </w:t>
      </w:r>
      <w:r>
        <w:rPr>
          <w:szCs w:val="22"/>
        </w:rPr>
        <w:t>elidegenítésének</w:t>
      </w:r>
      <w:r w:rsidRPr="0091374A">
        <w:rPr>
          <w:szCs w:val="22"/>
        </w:rPr>
        <w:t xml:space="preserve">, valamint a közvagyon bérbeadásának, </w:t>
      </w:r>
      <w:r>
        <w:rPr>
          <w:szCs w:val="22"/>
        </w:rPr>
        <w:t>illetve egyéb vagyonjogok megszerzése és felhasználása átruházásának, és</w:t>
      </w:r>
      <w:r w:rsidRPr="0091374A">
        <w:rPr>
          <w:szCs w:val="22"/>
        </w:rPr>
        <w:t xml:space="preserve"> a nyilvános árverés és írásos ajánlatok vételét illető eljárás feltételeiről szóló rendelet </w:t>
      </w:r>
      <w:r>
        <w:rPr>
          <w:szCs w:val="22"/>
        </w:rPr>
        <w:t>2</w:t>
      </w:r>
      <w:r w:rsidRPr="0091374A">
        <w:rPr>
          <w:szCs w:val="22"/>
        </w:rPr>
        <w:t>. szakasz</w:t>
      </w:r>
      <w:r>
        <w:rPr>
          <w:szCs w:val="22"/>
        </w:rPr>
        <w:t>a</w:t>
      </w:r>
      <w:r w:rsidRPr="0091374A">
        <w:rPr>
          <w:szCs w:val="22"/>
        </w:rPr>
        <w:t xml:space="preserve"> (</w:t>
      </w:r>
      <w:r>
        <w:rPr>
          <w:szCs w:val="22"/>
        </w:rPr>
        <w:t xml:space="preserve">Az </w:t>
      </w:r>
      <w:r w:rsidRPr="0091374A">
        <w:rPr>
          <w:szCs w:val="22"/>
        </w:rPr>
        <w:t>S</w:t>
      </w:r>
      <w:r>
        <w:rPr>
          <w:szCs w:val="22"/>
        </w:rPr>
        <w:t>Z</w:t>
      </w:r>
      <w:r w:rsidRPr="0091374A">
        <w:rPr>
          <w:szCs w:val="22"/>
        </w:rPr>
        <w:t xml:space="preserve">K Hivatalos Közlönye, </w:t>
      </w:r>
      <w:r w:rsidR="005A09AF">
        <w:rPr>
          <w:szCs w:val="22"/>
        </w:rPr>
        <w:t>16/2018. és</w:t>
      </w:r>
      <w:r w:rsidR="005A09AF" w:rsidRPr="0091374A">
        <w:rPr>
          <w:szCs w:val="22"/>
        </w:rPr>
        <w:t xml:space="preserve"> </w:t>
      </w:r>
      <w:r w:rsidR="005A09AF">
        <w:rPr>
          <w:szCs w:val="22"/>
        </w:rPr>
        <w:t xml:space="preserve">79/2023. </w:t>
      </w:r>
      <w:r w:rsidR="005A09AF" w:rsidRPr="0091374A">
        <w:rPr>
          <w:szCs w:val="22"/>
        </w:rPr>
        <w:t>szám</w:t>
      </w:r>
      <w:r w:rsidRPr="0091374A">
        <w:rPr>
          <w:szCs w:val="22"/>
        </w:rPr>
        <w:t>)</w:t>
      </w:r>
      <w:r>
        <w:rPr>
          <w:szCs w:val="22"/>
        </w:rPr>
        <w:t xml:space="preserve"> előírja, hogy </w:t>
      </w:r>
      <w:r w:rsidR="00820301">
        <w:rPr>
          <w:szCs w:val="22"/>
        </w:rPr>
        <w:t>a köztulajdonban lévő ingatlanokat</w:t>
      </w:r>
      <w:r w:rsidR="000E5F64">
        <w:rPr>
          <w:szCs w:val="22"/>
        </w:rPr>
        <w:t xml:space="preserve"> és egyéb tulajdonjogokat nyilvános árverés vagy írásos ajánlatok vétele által szerzik be és idegenítik el, illetve ruházzák át, kivételes esetben pedig közvetlen megegyezés útján, a törvényben és a rendeletben megállapított feltételekkel. A beszerzendő vagy köztula</w:t>
      </w:r>
      <w:r w:rsidR="00726E90">
        <w:rPr>
          <w:szCs w:val="22"/>
        </w:rPr>
        <w:t>jdonból elidegenítendő ingatlan</w:t>
      </w:r>
      <w:r w:rsidR="000E5F64">
        <w:rPr>
          <w:szCs w:val="22"/>
        </w:rPr>
        <w:t xml:space="preserve"> kezdő</w:t>
      </w:r>
      <w:r w:rsidR="00726E90">
        <w:rPr>
          <w:szCs w:val="22"/>
        </w:rPr>
        <w:t>árát</w:t>
      </w:r>
      <w:r w:rsidR="000E5F64">
        <w:rPr>
          <w:szCs w:val="22"/>
        </w:rPr>
        <w:t>, illetve legalacsonyabb, illetve legmagasabb</w:t>
      </w:r>
      <w:r w:rsidR="00726E90">
        <w:rPr>
          <w:szCs w:val="22"/>
        </w:rPr>
        <w:t xml:space="preserve"> adásvételi árát az illető ingatlan piaci értékéhez viszonyítva állapítják meg, euróban kifejezve, azzal, hogy a fizetés dinárban történik, a Szerb Nemzeti Bank fizetés napján érvényes középárfolyama szerint.</w:t>
      </w:r>
      <w:r w:rsidR="007B65AC">
        <w:rPr>
          <w:szCs w:val="22"/>
        </w:rPr>
        <w:t xml:space="preserve"> Az ingatlan adásvételi ára az illetékes adóügyi szerv, engedéllyel rendelkező értékbecslő vagy más illetékes szerv aktusa alapján kerül megállapításra, amelyben felbecsülték az ingatlan piaci értékét. </w:t>
      </w:r>
    </w:p>
    <w:p w14:paraId="4EC7640F" w14:textId="77777777" w:rsidR="002B1CA8" w:rsidRDefault="007B65AC" w:rsidP="007F639B">
      <w:pPr>
        <w:jc w:val="both"/>
        <w:rPr>
          <w:szCs w:val="22"/>
        </w:rPr>
      </w:pPr>
      <w:r>
        <w:rPr>
          <w:szCs w:val="22"/>
        </w:rPr>
        <w:tab/>
      </w:r>
      <w:r w:rsidR="00726E90">
        <w:rPr>
          <w:szCs w:val="22"/>
        </w:rPr>
        <w:t xml:space="preserve"> </w:t>
      </w:r>
      <w:r w:rsidR="00676605">
        <w:rPr>
          <w:szCs w:val="22"/>
        </w:rPr>
        <w:t>A helyi önkormányzatról szóló törvény 32. szakasza</w:t>
      </w:r>
      <w:r w:rsidR="00676605" w:rsidRPr="0091374A">
        <w:rPr>
          <w:szCs w:val="22"/>
        </w:rPr>
        <w:t xml:space="preserve"> </w:t>
      </w:r>
      <w:r w:rsidR="00676605">
        <w:rPr>
          <w:szCs w:val="22"/>
        </w:rPr>
        <w:t>1. bekezdésének 20) pontja (</w:t>
      </w:r>
      <w:r w:rsidR="005A09AF">
        <w:rPr>
          <w:szCs w:val="22"/>
        </w:rPr>
        <w:t xml:space="preserve">Az SZK Hivatalos Közlönye, </w:t>
      </w:r>
      <w:r w:rsidR="005A09AF" w:rsidRPr="00570A3A">
        <w:rPr>
          <w:szCs w:val="22"/>
          <w:lang w:val="sr-Cyrl-RS"/>
        </w:rPr>
        <w:t>129/2007</w:t>
      </w:r>
      <w:r w:rsidR="005A09AF">
        <w:rPr>
          <w:szCs w:val="22"/>
        </w:rPr>
        <w:t>.</w:t>
      </w:r>
      <w:r w:rsidR="005A09AF" w:rsidRPr="00570A3A">
        <w:rPr>
          <w:szCs w:val="22"/>
          <w:lang w:val="sr-Cyrl-RS"/>
        </w:rPr>
        <w:t>, 83/2014</w:t>
      </w:r>
      <w:r w:rsidR="005A09AF">
        <w:rPr>
          <w:szCs w:val="22"/>
        </w:rPr>
        <w:t xml:space="preserve">. – másik törvény, 101/2016. – másik törvény, 47/2018. és </w:t>
      </w:r>
      <w:r w:rsidR="005A09AF">
        <w:rPr>
          <w:szCs w:val="22"/>
        </w:rPr>
        <w:lastRenderedPageBreak/>
        <w:t>111/2021. – másik törvény szám</w:t>
      </w:r>
      <w:r w:rsidR="00676605">
        <w:rPr>
          <w:szCs w:val="22"/>
        </w:rPr>
        <w:t xml:space="preserve">) előírja, hogy a községi képviselő-testület, a törvénnyel összhangban, a törvényben és a statútumban megállapított egyéb teendőket is ellát. </w:t>
      </w:r>
    </w:p>
    <w:p w14:paraId="52567814" w14:textId="77777777" w:rsidR="000D7A54" w:rsidRDefault="000D7A54" w:rsidP="007F639B">
      <w:pPr>
        <w:jc w:val="both"/>
        <w:rPr>
          <w:szCs w:val="22"/>
        </w:rPr>
      </w:pPr>
      <w:r>
        <w:rPr>
          <w:szCs w:val="22"/>
        </w:rPr>
        <w:tab/>
      </w:r>
      <w:r w:rsidRPr="0091374A">
        <w:rPr>
          <w:szCs w:val="22"/>
        </w:rPr>
        <w:t>Topolya község Statútuma 4</w:t>
      </w:r>
      <w:r>
        <w:rPr>
          <w:szCs w:val="22"/>
        </w:rPr>
        <w:t>7</w:t>
      </w:r>
      <w:r w:rsidRPr="0091374A">
        <w:rPr>
          <w:szCs w:val="22"/>
        </w:rPr>
        <w:t xml:space="preserve">. szakasza 1. bekezdésének </w:t>
      </w:r>
      <w:r>
        <w:rPr>
          <w:szCs w:val="22"/>
        </w:rPr>
        <w:t>36)</w:t>
      </w:r>
      <w:r w:rsidRPr="0091374A">
        <w:rPr>
          <w:szCs w:val="22"/>
        </w:rPr>
        <w:t xml:space="preserve"> pontja (Topolya Község Hivatalos Lapja, </w:t>
      </w:r>
      <w:r w:rsidR="005A09AF">
        <w:rPr>
          <w:szCs w:val="22"/>
        </w:rPr>
        <w:t>5.1/</w:t>
      </w:r>
      <w:r w:rsidRPr="0091374A">
        <w:rPr>
          <w:szCs w:val="22"/>
        </w:rPr>
        <w:t>20</w:t>
      </w:r>
      <w:r>
        <w:rPr>
          <w:szCs w:val="22"/>
        </w:rPr>
        <w:t>19</w:t>
      </w:r>
      <w:r w:rsidRPr="0091374A">
        <w:rPr>
          <w:szCs w:val="22"/>
        </w:rPr>
        <w:t>. szám)</w:t>
      </w:r>
      <w:r>
        <w:rPr>
          <w:szCs w:val="22"/>
        </w:rPr>
        <w:t xml:space="preserve"> előírja, hogy a községi képviselő-testület dönt a község köztulajdonába tartozó ingatlanok beszerzéséről és elidegenítéséről. </w:t>
      </w:r>
    </w:p>
    <w:p w14:paraId="5A496EEE" w14:textId="77777777" w:rsidR="000D7A54" w:rsidRDefault="000D7A54" w:rsidP="007F639B">
      <w:pPr>
        <w:jc w:val="both"/>
        <w:rPr>
          <w:szCs w:val="22"/>
        </w:rPr>
      </w:pPr>
      <w:r>
        <w:rPr>
          <w:szCs w:val="22"/>
        </w:rPr>
        <w:tab/>
      </w:r>
      <w:r w:rsidRPr="0091374A">
        <w:rPr>
          <w:szCs w:val="22"/>
        </w:rPr>
        <w:t>A Topolya község köztulajdoná</w:t>
      </w:r>
      <w:r>
        <w:rPr>
          <w:szCs w:val="22"/>
        </w:rPr>
        <w:t>ba tartozó vagyontárgyak</w:t>
      </w:r>
      <w:r w:rsidRPr="0091374A">
        <w:rPr>
          <w:szCs w:val="22"/>
        </w:rPr>
        <w:t xml:space="preserve"> beszerzéséről, használatáról, kezeléséről és </w:t>
      </w:r>
      <w:r>
        <w:rPr>
          <w:szCs w:val="22"/>
        </w:rPr>
        <w:t xml:space="preserve">az </w:t>
      </w:r>
      <w:r w:rsidRPr="0091374A">
        <w:rPr>
          <w:szCs w:val="22"/>
        </w:rPr>
        <w:t>ezekkel való rendelkezésről szóló határozat 1</w:t>
      </w:r>
      <w:r>
        <w:rPr>
          <w:szCs w:val="22"/>
        </w:rPr>
        <w:t>0</w:t>
      </w:r>
      <w:r w:rsidR="005A09AF">
        <w:rPr>
          <w:szCs w:val="22"/>
        </w:rPr>
        <w:t>. szakaszának</w:t>
      </w:r>
      <w:r w:rsidRPr="0091374A">
        <w:rPr>
          <w:szCs w:val="22"/>
        </w:rPr>
        <w:t xml:space="preserve"> </w:t>
      </w:r>
      <w:r w:rsidR="005A09AF">
        <w:rPr>
          <w:szCs w:val="22"/>
        </w:rPr>
        <w:t xml:space="preserve">1. bekezdése </w:t>
      </w:r>
      <w:r w:rsidRPr="0091374A">
        <w:rPr>
          <w:szCs w:val="22"/>
        </w:rPr>
        <w:t xml:space="preserve">(Topolya Község Hivatalos Lapja, </w:t>
      </w:r>
      <w:r w:rsidR="005A09AF" w:rsidRPr="005A09AF">
        <w:rPr>
          <w:szCs w:val="22"/>
        </w:rPr>
        <w:t>38.2/2023</w:t>
      </w:r>
      <w:r w:rsidR="005A09AF">
        <w:rPr>
          <w:szCs w:val="22"/>
        </w:rPr>
        <w:t xml:space="preserve">. </w:t>
      </w:r>
      <w:r w:rsidRPr="0091374A">
        <w:rPr>
          <w:szCs w:val="22"/>
        </w:rPr>
        <w:t>szám)</w:t>
      </w:r>
      <w:r>
        <w:rPr>
          <w:szCs w:val="22"/>
        </w:rPr>
        <w:t xml:space="preserve"> előírja, hogy a </w:t>
      </w:r>
      <w:r w:rsidR="005A09AF" w:rsidRPr="005A09AF">
        <w:rPr>
          <w:szCs w:val="22"/>
        </w:rPr>
        <w:t>Község köztulajdonában levő ingatlan megszerzése és elidegenítése nyilvános ajánlattétel, illetve írásbeli ajánlatok gyűjtése, kivételesen közvetlen megegyezés útján történik, a törvényben és a törvénytől alacsonyabb rendű aktusokban meghatározott feltételekkel, valamint a Községi Képviselő-testület határozata alapján.</w:t>
      </w:r>
      <w:r w:rsidR="005A09AF">
        <w:rPr>
          <w:szCs w:val="22"/>
        </w:rPr>
        <w:t xml:space="preserve"> </w:t>
      </w:r>
    </w:p>
    <w:p w14:paraId="4E318E3B" w14:textId="77777777" w:rsidR="005A09AF" w:rsidRDefault="005A09AF" w:rsidP="007F639B">
      <w:pPr>
        <w:jc w:val="both"/>
        <w:rPr>
          <w:szCs w:val="22"/>
        </w:rPr>
      </w:pPr>
    </w:p>
    <w:p w14:paraId="5E2A4B3E" w14:textId="77777777" w:rsidR="000D7A54" w:rsidRDefault="000D7A54" w:rsidP="007F639B">
      <w:pPr>
        <w:jc w:val="both"/>
        <w:rPr>
          <w:szCs w:val="22"/>
        </w:rPr>
      </w:pPr>
      <w:r>
        <w:rPr>
          <w:szCs w:val="22"/>
        </w:rPr>
        <w:t>II. A MEGHOZATAL OKAI:</w:t>
      </w:r>
    </w:p>
    <w:p w14:paraId="17957340" w14:textId="29687C51" w:rsidR="007F3038" w:rsidRDefault="007C0803" w:rsidP="007F3038">
      <w:pPr>
        <w:jc w:val="both"/>
        <w:rPr>
          <w:szCs w:val="22"/>
        </w:rPr>
      </w:pPr>
      <w:r>
        <w:rPr>
          <w:szCs w:val="22"/>
        </w:rPr>
        <w:tab/>
      </w:r>
      <w:r w:rsidR="009927CC">
        <w:rPr>
          <w:szCs w:val="22"/>
        </w:rPr>
        <w:t xml:space="preserve">A </w:t>
      </w:r>
      <w:proofErr w:type="spellStart"/>
      <w:r w:rsidR="009927CC">
        <w:rPr>
          <w:szCs w:val="22"/>
        </w:rPr>
        <w:t>Tomislavcin</w:t>
      </w:r>
      <w:proofErr w:type="spellEnd"/>
      <w:r w:rsidR="009927CC">
        <w:rPr>
          <w:szCs w:val="22"/>
        </w:rPr>
        <w:t xml:space="preserve"> található tárgyalt ingatlanok, gazdasági épületek bérlője, aki 5 éves időszakra vette bérbe az ingatlanokat, </w:t>
      </w:r>
      <w:r w:rsidR="00083A1C">
        <w:rPr>
          <w:szCs w:val="22"/>
        </w:rPr>
        <w:t xml:space="preserve">Topolya község felé kifejezte vásárlási szándékát a </w:t>
      </w:r>
      <w:proofErr w:type="spellStart"/>
      <w:r w:rsidR="00083A1C">
        <w:rPr>
          <w:szCs w:val="22"/>
        </w:rPr>
        <w:t>Felsőroglatica</w:t>
      </w:r>
      <w:proofErr w:type="spellEnd"/>
      <w:r w:rsidR="00083A1C">
        <w:rPr>
          <w:szCs w:val="22"/>
        </w:rPr>
        <w:t xml:space="preserve"> </w:t>
      </w:r>
      <w:proofErr w:type="spellStart"/>
      <w:r w:rsidR="00083A1C">
        <w:rPr>
          <w:szCs w:val="22"/>
        </w:rPr>
        <w:t>k.k</w:t>
      </w:r>
      <w:proofErr w:type="spellEnd"/>
      <w:r w:rsidR="00083A1C">
        <w:rPr>
          <w:szCs w:val="22"/>
        </w:rPr>
        <w:t xml:space="preserve">. 2403. </w:t>
      </w:r>
      <w:proofErr w:type="spellStart"/>
      <w:r w:rsidR="00083A1C">
        <w:rPr>
          <w:szCs w:val="22"/>
        </w:rPr>
        <w:t>hsz</w:t>
      </w:r>
      <w:proofErr w:type="spellEnd"/>
      <w:r w:rsidR="00083A1C">
        <w:rPr>
          <w:szCs w:val="22"/>
        </w:rPr>
        <w:t xml:space="preserve">. telkén épület gazdasági épületekre vonatkozóan, mivel az elmúlt időszakban ezeket a tulajdonos jóváhagyásával fejlesztette és alakította, s további jelentős beruházásokat tervez, mégpedig új gazdasági épületek építését, mindezt a gazdasága keretében végzett tevékenysége előmozdítása érdekében. </w:t>
      </w:r>
      <w:r w:rsidR="007F3038">
        <w:rPr>
          <w:szCs w:val="22"/>
        </w:rPr>
        <w:t xml:space="preserve"> </w:t>
      </w:r>
    </w:p>
    <w:p w14:paraId="6C4457FC" w14:textId="77777777" w:rsidR="00B654BB" w:rsidRDefault="009D24ED" w:rsidP="009D24ED">
      <w:pPr>
        <w:ind w:firstLine="708"/>
        <w:jc w:val="both"/>
      </w:pPr>
      <w:r>
        <w:rPr>
          <w:szCs w:val="22"/>
        </w:rPr>
        <w:t>A</w:t>
      </w:r>
      <w:r w:rsidR="008640D3">
        <w:rPr>
          <w:szCs w:val="22"/>
        </w:rPr>
        <w:t xml:space="preserve">z illetékes osztály, tekintettel arra, hogy az ingatlan (objektum) köztulajdonból való elidegenítéséről szóló határozat meghozatalában a Községi Képviselő-testület az illetékes, </w:t>
      </w:r>
      <w:r w:rsidR="008A1EF0" w:rsidRPr="0091374A">
        <w:rPr>
          <w:szCs w:val="22"/>
        </w:rPr>
        <w:t>A Topolya község köztulajdoná</w:t>
      </w:r>
      <w:r w:rsidR="008A1EF0">
        <w:rPr>
          <w:szCs w:val="22"/>
        </w:rPr>
        <w:t>ba tartozó vagyontárgyak</w:t>
      </w:r>
      <w:r w:rsidR="008A1EF0" w:rsidRPr="0091374A">
        <w:rPr>
          <w:szCs w:val="22"/>
        </w:rPr>
        <w:t xml:space="preserve"> beszerzéséről, használatáról, kezeléséről és </w:t>
      </w:r>
      <w:r w:rsidR="008A1EF0">
        <w:rPr>
          <w:szCs w:val="22"/>
        </w:rPr>
        <w:t xml:space="preserve">az </w:t>
      </w:r>
      <w:r w:rsidR="008A1EF0" w:rsidRPr="0091374A">
        <w:rPr>
          <w:szCs w:val="22"/>
        </w:rPr>
        <w:t>ezekkel való rendelkezésről szóló határozat</w:t>
      </w:r>
      <w:r w:rsidR="0007488A">
        <w:rPr>
          <w:szCs w:val="22"/>
        </w:rPr>
        <w:t xml:space="preserve"> </w:t>
      </w:r>
      <w:r w:rsidR="0007488A" w:rsidRPr="0091374A">
        <w:rPr>
          <w:szCs w:val="22"/>
        </w:rPr>
        <w:t xml:space="preserve">(Topolya Község Hivatalos Lapja, </w:t>
      </w:r>
      <w:r w:rsidR="0007488A">
        <w:rPr>
          <w:szCs w:val="22"/>
        </w:rPr>
        <w:t xml:space="preserve">38.2/2023. </w:t>
      </w:r>
      <w:r w:rsidR="0007488A" w:rsidRPr="0091374A">
        <w:rPr>
          <w:szCs w:val="22"/>
        </w:rPr>
        <w:t>szám)</w:t>
      </w:r>
      <w:r w:rsidR="0007488A">
        <w:rPr>
          <w:szCs w:val="22"/>
        </w:rPr>
        <w:t xml:space="preserve"> (a továbbiakban: Határozat)</w:t>
      </w:r>
      <w:r w:rsidR="008A1EF0">
        <w:rPr>
          <w:szCs w:val="22"/>
        </w:rPr>
        <w:t xml:space="preserve"> 1</w:t>
      </w:r>
      <w:r w:rsidR="0007488A">
        <w:rPr>
          <w:szCs w:val="22"/>
        </w:rPr>
        <w:t>0</w:t>
      </w:r>
      <w:r w:rsidR="008A1EF0">
        <w:rPr>
          <w:szCs w:val="22"/>
        </w:rPr>
        <w:t>. szakasz</w:t>
      </w:r>
      <w:r w:rsidR="008640D3">
        <w:rPr>
          <w:szCs w:val="22"/>
        </w:rPr>
        <w:t>ával</w:t>
      </w:r>
      <w:r w:rsidR="0007488A">
        <w:rPr>
          <w:szCs w:val="22"/>
        </w:rPr>
        <w:t xml:space="preserve"> </w:t>
      </w:r>
      <w:r w:rsidR="008640D3">
        <w:rPr>
          <w:szCs w:val="22"/>
        </w:rPr>
        <w:t xml:space="preserve">összhangban, amely </w:t>
      </w:r>
      <w:r w:rsidR="0007488A">
        <w:rPr>
          <w:szCs w:val="22"/>
        </w:rPr>
        <w:t>előírja, hogy a vagyonjogi teendőkben illetékes</w:t>
      </w:r>
      <w:r w:rsidR="008A1EF0">
        <w:rPr>
          <w:szCs w:val="22"/>
        </w:rPr>
        <w:t xml:space="preserve"> osztály készíti el az aktus javaslatát, s a határozati javaslatot a Községi Tanács állapítja meg, az osztály elkezdte a tárgyalt ingatlan köztulajdonból való, írásos ajánlatok vételi eljárásában történő elidegenítéséről szóló határozati javaslat kidolgozását, s</w:t>
      </w:r>
      <w:r w:rsidR="00196BCA">
        <w:rPr>
          <w:szCs w:val="22"/>
        </w:rPr>
        <w:t xml:space="preserve"> A köz</w:t>
      </w:r>
      <w:r w:rsidR="0007488A">
        <w:rPr>
          <w:szCs w:val="22"/>
        </w:rPr>
        <w:t>tulajdon</w:t>
      </w:r>
      <w:r w:rsidR="00196BCA">
        <w:rPr>
          <w:szCs w:val="22"/>
        </w:rPr>
        <w:t>ról szóló törvény és</w:t>
      </w:r>
      <w:r w:rsidR="008A1EF0">
        <w:rPr>
          <w:szCs w:val="22"/>
        </w:rPr>
        <w:t xml:space="preserve"> </w:t>
      </w:r>
      <w:r w:rsidR="008A1EF0" w:rsidRPr="0091374A">
        <w:rPr>
          <w:szCs w:val="22"/>
        </w:rPr>
        <w:t xml:space="preserve">Az ingatlanok közvetlen megegyezéssel </w:t>
      </w:r>
      <w:r w:rsidR="008A1EF0">
        <w:rPr>
          <w:szCs w:val="22"/>
        </w:rPr>
        <w:t>történő</w:t>
      </w:r>
      <w:r w:rsidR="008A1EF0" w:rsidRPr="0091374A">
        <w:rPr>
          <w:szCs w:val="22"/>
        </w:rPr>
        <w:t xml:space="preserve"> megszerzésének és </w:t>
      </w:r>
      <w:r w:rsidR="008A1EF0">
        <w:rPr>
          <w:szCs w:val="22"/>
        </w:rPr>
        <w:t>elidegenítésének</w:t>
      </w:r>
      <w:r w:rsidR="008A1EF0" w:rsidRPr="0091374A">
        <w:rPr>
          <w:szCs w:val="22"/>
        </w:rPr>
        <w:t xml:space="preserve">, valamint a közvagyon bérbeadásának, </w:t>
      </w:r>
      <w:r w:rsidR="008A1EF0">
        <w:rPr>
          <w:szCs w:val="22"/>
        </w:rPr>
        <w:t>illetve egyéb vagyonjogok megszerzése és felhasználása átruházásának, és</w:t>
      </w:r>
      <w:r w:rsidR="008A1EF0" w:rsidRPr="0091374A">
        <w:rPr>
          <w:szCs w:val="22"/>
        </w:rPr>
        <w:t xml:space="preserve"> a nyilvános árverés és írásos ajánlatok vételét illető eljárás feltételeiről szóló rendelet (</w:t>
      </w:r>
      <w:r w:rsidR="008A1EF0">
        <w:rPr>
          <w:szCs w:val="22"/>
        </w:rPr>
        <w:t xml:space="preserve">Az </w:t>
      </w:r>
      <w:r w:rsidR="008A1EF0" w:rsidRPr="0091374A">
        <w:rPr>
          <w:szCs w:val="22"/>
        </w:rPr>
        <w:t>S</w:t>
      </w:r>
      <w:r w:rsidR="008A1EF0">
        <w:rPr>
          <w:szCs w:val="22"/>
        </w:rPr>
        <w:t>Z</w:t>
      </w:r>
      <w:r w:rsidR="008A1EF0" w:rsidRPr="0091374A">
        <w:rPr>
          <w:szCs w:val="22"/>
        </w:rPr>
        <w:t xml:space="preserve">K Hivatalos Közlönye, </w:t>
      </w:r>
      <w:r w:rsidR="008A1EF0">
        <w:rPr>
          <w:szCs w:val="22"/>
        </w:rPr>
        <w:t>2018/16.</w:t>
      </w:r>
      <w:r>
        <w:rPr>
          <w:szCs w:val="22"/>
        </w:rPr>
        <w:t xml:space="preserve"> és 79/2023.</w:t>
      </w:r>
      <w:r w:rsidR="008A1EF0" w:rsidRPr="0091374A">
        <w:rPr>
          <w:szCs w:val="22"/>
        </w:rPr>
        <w:t xml:space="preserve"> szám)</w:t>
      </w:r>
      <w:r>
        <w:rPr>
          <w:szCs w:val="22"/>
        </w:rPr>
        <w:t xml:space="preserve"> (a továbbiakban: Rendelet)</w:t>
      </w:r>
      <w:r w:rsidR="008A1EF0">
        <w:rPr>
          <w:szCs w:val="22"/>
        </w:rPr>
        <w:t xml:space="preserve"> rendelkezéseivel összhangban</w:t>
      </w:r>
      <w:r w:rsidR="00C57A82">
        <w:rPr>
          <w:szCs w:val="22"/>
        </w:rPr>
        <w:t>, engedéllyel rendelkező értékbecslőt alkalmaztak a tárgyalt ingatlan piaci értékéről szóló ad</w:t>
      </w:r>
      <w:r w:rsidR="00045FA6">
        <w:rPr>
          <w:szCs w:val="22"/>
        </w:rPr>
        <w:t>atok megküldésére, amely alapján megállapításra kerül</w:t>
      </w:r>
      <w:r w:rsidR="00C57A82">
        <w:rPr>
          <w:szCs w:val="22"/>
        </w:rPr>
        <w:t xml:space="preserve"> az ingatlan köztulajdonból való elidegenítés</w:t>
      </w:r>
      <w:r w:rsidR="00045FA6">
        <w:rPr>
          <w:szCs w:val="22"/>
        </w:rPr>
        <w:t>ének kezdőára</w:t>
      </w:r>
      <w:r w:rsidR="00C57A82">
        <w:rPr>
          <w:szCs w:val="22"/>
        </w:rPr>
        <w:t xml:space="preserve">. </w:t>
      </w:r>
      <w:r w:rsidR="00C8677B">
        <w:rPr>
          <w:szCs w:val="22"/>
        </w:rPr>
        <w:t xml:space="preserve">A </w:t>
      </w:r>
      <w:proofErr w:type="spellStart"/>
      <w:r w:rsidR="00C8677B">
        <w:t>Procena</w:t>
      </w:r>
      <w:proofErr w:type="spellEnd"/>
      <w:r w:rsidR="00C8677B">
        <w:t xml:space="preserve"> Plus Igazságügyi Szakértői és Mérnöki Kft., dr. </w:t>
      </w:r>
      <w:proofErr w:type="spellStart"/>
      <w:r w:rsidR="00C8677B">
        <w:t>Miomir</w:t>
      </w:r>
      <w:proofErr w:type="spellEnd"/>
      <w:r w:rsidR="00C8677B">
        <w:t xml:space="preserve"> </w:t>
      </w:r>
      <w:proofErr w:type="spellStart"/>
      <w:r w:rsidR="00C8677B">
        <w:t>Paovica</w:t>
      </w:r>
      <w:proofErr w:type="spellEnd"/>
      <w:r w:rsidR="00C8677B">
        <w:t xml:space="preserve"> szabadkai okl. építőmérnök</w:t>
      </w:r>
      <w:r w:rsidR="00196BCA">
        <w:t>, engedéllyel rendelkező értékbecslő</w:t>
      </w:r>
      <w:r w:rsidR="00C8677B">
        <w:t xml:space="preserve"> 202</w:t>
      </w:r>
      <w:r>
        <w:t>5</w:t>
      </w:r>
      <w:r w:rsidR="00C8677B">
        <w:t xml:space="preserve">. </w:t>
      </w:r>
      <w:r>
        <w:t>04</w:t>
      </w:r>
      <w:r w:rsidR="00C8677B">
        <w:t xml:space="preserve">. </w:t>
      </w:r>
      <w:r>
        <w:t>04</w:t>
      </w:r>
      <w:r w:rsidR="00C8677B">
        <w:t>-</w:t>
      </w:r>
      <w:r>
        <w:t>é</w:t>
      </w:r>
      <w:r w:rsidR="00C8677B">
        <w:t>n elkészítette az ingatlan (</w:t>
      </w:r>
      <w:r>
        <w:t>gazdasági épületek,</w:t>
      </w:r>
      <w:r w:rsidR="00DE109E">
        <w:t xml:space="preserve"> 1., 3. és 5. sz. épületek (gazdasági épületek, 2., 4., 6., 7., 8., 9. és 10. sz. épületek összedőltek, gyakorlatilag nem léteznek),</w:t>
      </w:r>
      <w:r>
        <w:t xml:space="preserve"> amelyek </w:t>
      </w:r>
      <w:proofErr w:type="spellStart"/>
      <w:r>
        <w:t>Felsőroglatica</w:t>
      </w:r>
      <w:proofErr w:type="spellEnd"/>
      <w:r>
        <w:t xml:space="preserve"> </w:t>
      </w:r>
      <w:proofErr w:type="spellStart"/>
      <w:r>
        <w:t>k.k</w:t>
      </w:r>
      <w:proofErr w:type="spellEnd"/>
      <w:r>
        <w:t xml:space="preserve">. 2403. </w:t>
      </w:r>
      <w:proofErr w:type="spellStart"/>
      <w:r>
        <w:t>hsz</w:t>
      </w:r>
      <w:proofErr w:type="spellEnd"/>
      <w:r>
        <w:t xml:space="preserve">. telkén épültek, Legelő, </w:t>
      </w:r>
      <w:proofErr w:type="spellStart"/>
      <w:r>
        <w:t>Tomislavci</w:t>
      </w:r>
      <w:proofErr w:type="spellEnd"/>
      <w:r w:rsidR="00447648">
        <w:t xml:space="preserve">) piaci értékének becsléséről szóló jelentését, amelyben megállapítja, hogy, </w:t>
      </w:r>
      <w:r w:rsidR="00DE109E">
        <w:t>a</w:t>
      </w:r>
      <w:r w:rsidR="00DE109E">
        <w:t>z</w:t>
      </w:r>
      <w:r w:rsidR="00DE109E">
        <w:t xml:space="preserve"> 1. számú </w:t>
      </w:r>
      <w:r w:rsidR="00DE109E">
        <w:t xml:space="preserve">gazdasági </w:t>
      </w:r>
      <w:r w:rsidR="00DE109E">
        <w:t>épület egy földszintes épület, bruttó alapterülete 692 m², amely raktárhelyiségből, sertésólból és juh</w:t>
      </w:r>
      <w:r w:rsidR="001E3C54">
        <w:t>akolból</w:t>
      </w:r>
      <w:r w:rsidR="00DE109E">
        <w:t xml:space="preserve"> áll, összterülete mintegy 601,40 m²</w:t>
      </w:r>
      <w:r w:rsidR="001E3C54">
        <w:t>, a</w:t>
      </w:r>
      <w:r w:rsidR="00DE109E">
        <w:t xml:space="preserve"> 3. számú </w:t>
      </w:r>
      <w:r w:rsidR="001E3C54">
        <w:t xml:space="preserve">gazdasági </w:t>
      </w:r>
      <w:r w:rsidR="00DE109E">
        <w:t>épület a valóságban egy régi mérleg, földszintes épület, bruttó alapterülete 156 m², állatmérleg, amely egy mérlegházból áll, benne az állatmérleg a mérőhellyel, valamint két rakodórámpából és egy rakodó-leadó platóból, összterülete körülbelül 138,87 m².</w:t>
      </w:r>
      <w:r w:rsidR="001E3C54">
        <w:t xml:space="preserve"> az</w:t>
      </w:r>
      <w:r w:rsidR="00DE109E">
        <w:t xml:space="preserve"> 5. számú </w:t>
      </w:r>
      <w:r w:rsidR="001E3C54">
        <w:t xml:space="preserve">gazdasági </w:t>
      </w:r>
      <w:r w:rsidR="00DE109E">
        <w:t>épület a valóságban egy mérlegház mérleggel, földszintes épület, bruttó alapterülete 33 m², 20 tonna teherbírású padlómérleggel</w:t>
      </w:r>
      <w:r w:rsidR="001E3C54">
        <w:t>, a</w:t>
      </w:r>
      <w:r w:rsidR="00DE109E">
        <w:t xml:space="preserve"> mérlegház fedett bejáratból, folyosóból, vezérlőszobából és irodából áll, összterülete 28,90 m²</w:t>
      </w:r>
      <w:r w:rsidR="00D95E65">
        <w:t>, a</w:t>
      </w:r>
      <w:r w:rsidR="00DE109E">
        <w:t xml:space="preserve"> padlómérleg teherbírása 20 tonna, és egy süllyesztett acélszerkezetből áll, a terepszinttel (felhajtóúttal) egy szintben elhelyezett egy szegmensű mérlegplatformmal</w:t>
      </w:r>
      <w:r w:rsidR="00D95E65">
        <w:t xml:space="preserve">, </w:t>
      </w:r>
      <w:r w:rsidR="00447648">
        <w:t xml:space="preserve">így az ingatlan piaci értéke összesen </w:t>
      </w:r>
      <w:r w:rsidR="00B654BB" w:rsidRPr="00B654BB">
        <w:t xml:space="preserve">2.731.244,64 </w:t>
      </w:r>
      <w:r w:rsidR="00447648">
        <w:t>dinár összegben került</w:t>
      </w:r>
      <w:r w:rsidR="00447648" w:rsidRPr="00DA529F">
        <w:rPr>
          <w:lang w:val="sr-Cyrl-RS"/>
        </w:rPr>
        <w:t xml:space="preserve"> </w:t>
      </w:r>
      <w:r w:rsidR="00447648">
        <w:t xml:space="preserve">megállapításra, ami az értékbecslés napján a Szerb Nemzeti Bank hivatalos középárfolyama szerint </w:t>
      </w:r>
      <w:r w:rsidR="00447648" w:rsidRPr="00447648">
        <w:t>2</w:t>
      </w:r>
      <w:r w:rsidR="00B654BB">
        <w:t>3.3</w:t>
      </w:r>
      <w:r w:rsidR="00447648" w:rsidRPr="00447648">
        <w:t>00,00 euró.</w:t>
      </w:r>
    </w:p>
    <w:p w14:paraId="5B731D0A" w14:textId="38EF5D20" w:rsidR="00447648" w:rsidRDefault="00B654BB" w:rsidP="009D24ED">
      <w:pPr>
        <w:ind w:firstLine="708"/>
        <w:jc w:val="both"/>
      </w:pPr>
      <w:r w:rsidRPr="00B654BB">
        <w:t>Tekintettel arra, hogy megállapítást nyert, hogy a helyszínen nem léteznek a 2., 4., 6., 7., 8., 9. és 10. számú gazdasági épületek, mivel azok lebontásra kerültek, az illetékes osztály eljárást indított az illetékes ingatlankataszteri hivatalnál annak érdekében, hogy a nem létező épületeket töröljék az ingatlanok egységes nyilvántartásából, és hogy az eladás tárgya a 2403</w:t>
      </w:r>
      <w:r>
        <w:t>.</w:t>
      </w:r>
      <w:r w:rsidRPr="00B654BB">
        <w:t xml:space="preserve"> </w:t>
      </w:r>
      <w:proofErr w:type="spellStart"/>
      <w:r>
        <w:t>hsz</w:t>
      </w:r>
      <w:proofErr w:type="spellEnd"/>
      <w:r>
        <w:t>.</w:t>
      </w:r>
      <w:r w:rsidRPr="00B654BB">
        <w:t xml:space="preserve"> parcella legyen a meglévő mezőgazdasági épületekkel együtt.</w:t>
      </w:r>
      <w:r>
        <w:t xml:space="preserve"> </w:t>
      </w:r>
      <w:r w:rsidR="00447648">
        <w:t xml:space="preserve"> </w:t>
      </w:r>
    </w:p>
    <w:p w14:paraId="6A2DEAB6" w14:textId="77777777" w:rsidR="004D222F" w:rsidRDefault="00A7495C" w:rsidP="00447648">
      <w:pPr>
        <w:ind w:firstLine="708"/>
        <w:jc w:val="both"/>
        <w:rPr>
          <w:szCs w:val="22"/>
        </w:rPr>
      </w:pPr>
      <w:r>
        <w:lastRenderedPageBreak/>
        <w:t>A határozati javaslattal továbbá, a rendelet 19. szakaszának rendelkezésével összhangban, amely előírja, hogy az ingatlan köztulajdonból való elidegenítéséről szóló aktus meghozatalát követően az illetékes szerv bizottságot alakít és hirdetést tesz közzé az ingatlan köztulajdonból való, nyilvános árverés vagy írásos ajánlatvételi eljárás lefolytatása útján történő elidegenítésére, amely hirdetést közzé kell tenni egy, az SZK egész területén forgalmazott napilapban</w:t>
      </w:r>
      <w:r w:rsidR="00DA71E7">
        <w:t xml:space="preserve">, a </w:t>
      </w:r>
      <w:r w:rsidR="000724E0">
        <w:t>H</w:t>
      </w:r>
      <w:r w:rsidR="00DA71E7">
        <w:t>atározat 1</w:t>
      </w:r>
      <w:r w:rsidR="000724E0">
        <w:t>1</w:t>
      </w:r>
      <w:r w:rsidR="00DA71E7">
        <w:t xml:space="preserve">. szakaszával összhangban, </w:t>
      </w:r>
      <w:r w:rsidR="000724E0">
        <w:t>amely meghatározza, hogy a 10. szakasz</w:t>
      </w:r>
      <w:r w:rsidR="00DA71E7">
        <w:t xml:space="preserve">ban foglalt határozat meghozatalát követően a </w:t>
      </w:r>
      <w:r w:rsidR="000724E0">
        <w:t>K</w:t>
      </w:r>
      <w:r w:rsidR="00DA71E7">
        <w:t xml:space="preserve">özségi </w:t>
      </w:r>
      <w:r w:rsidR="000724E0">
        <w:t>E</w:t>
      </w:r>
      <w:r w:rsidR="00DA71E7">
        <w:t>lnök bizottságot alakít,</w:t>
      </w:r>
      <w:r w:rsidR="000724E0">
        <w:t xml:space="preserve"> a Községi Képviselő-testület pedig </w:t>
      </w:r>
      <w:r w:rsidR="000724E0">
        <w:rPr>
          <w:szCs w:val="22"/>
        </w:rPr>
        <w:t xml:space="preserve">hirdetést tesz közzé írásos ajánlatok begyűjtésére az ingatlan elidegenítése céljából. </w:t>
      </w:r>
      <w:r w:rsidR="004D222F">
        <w:rPr>
          <w:szCs w:val="22"/>
        </w:rPr>
        <w:t>A hirdetés tartalmát a Rendelet is előírja, ahogy ezzel összhangban a Határozat 13. szakasza is, hirdetés pedig a község hivatalos honlapján való megjelenésétől számított 30 napig van nyitva.</w:t>
      </w:r>
    </w:p>
    <w:p w14:paraId="7E923F66" w14:textId="77777777" w:rsidR="00B31C10" w:rsidRPr="00C8677B" w:rsidRDefault="004D222F" w:rsidP="002A5C17">
      <w:pPr>
        <w:ind w:firstLine="708"/>
        <w:jc w:val="both"/>
      </w:pPr>
      <w:r>
        <w:t>A Bizottság</w:t>
      </w:r>
      <w:r w:rsidR="00DA71E7">
        <w:t xml:space="preserve"> lefolytatja a beérkezett írásos ajánlatok felbontásának eljárását, amiről jegyzőkönyvet vezet, amit a</w:t>
      </w:r>
      <w:r w:rsidR="00DA71E7">
        <w:rPr>
          <w:szCs w:val="22"/>
        </w:rPr>
        <w:t xml:space="preserve"> javaslattal együtt, miszerint a köztulajdonban lévő ingatlant a legmagasabb adásvételi árat ajánlott ajánlattevőnek idegenítsék el, megküld az illetékes szervnek, vagyis a </w:t>
      </w:r>
      <w:r>
        <w:rPr>
          <w:szCs w:val="22"/>
        </w:rPr>
        <w:t>K</w:t>
      </w:r>
      <w:r w:rsidR="00DA71E7">
        <w:rPr>
          <w:szCs w:val="22"/>
        </w:rPr>
        <w:t xml:space="preserve">özségi </w:t>
      </w:r>
      <w:r>
        <w:rPr>
          <w:szCs w:val="22"/>
        </w:rPr>
        <w:t>Tanácsnak, amely a Határozat</w:t>
      </w:r>
      <w:r w:rsidR="00DA71E7">
        <w:rPr>
          <w:szCs w:val="22"/>
        </w:rPr>
        <w:t xml:space="preserve"> 1</w:t>
      </w:r>
      <w:r>
        <w:rPr>
          <w:szCs w:val="22"/>
        </w:rPr>
        <w:t>5</w:t>
      </w:r>
      <w:r w:rsidR="00DA71E7">
        <w:rPr>
          <w:szCs w:val="22"/>
        </w:rPr>
        <w:t>. szakaszával összhangban,</w:t>
      </w:r>
      <w:r>
        <w:rPr>
          <w:szCs w:val="22"/>
        </w:rPr>
        <w:t xml:space="preserve"> a legkedvezőbb ajánlattevő megválasztásáról szóló határozati javaslatot meghozatal céljából megküldi a Községi Képviselő-testület, a képviselő-testület határozata pedig végleges. </w:t>
      </w:r>
    </w:p>
    <w:p w14:paraId="4B9732DA" w14:textId="1FEA2455" w:rsidR="00043006" w:rsidRDefault="00043006" w:rsidP="007F639B">
      <w:pPr>
        <w:jc w:val="both"/>
      </w:pPr>
      <w:r>
        <w:tab/>
      </w:r>
      <w:r w:rsidR="00545F66" w:rsidRPr="00545F66">
        <w:t>A fentiek alapján, mivel indokolt és célszerű, hogy az az ingatlan, amelyre a helyi önkormányzatnak nincs szüksége feladatainak ellátásához, és amelyet eddig is mezőgazdasági tevékenység céljából adtak bérbe, kikerüljön a közvagyonból, továbbá tekintettel arra, hogy van érdeklődés a szóban forgó parcella meglévő épületekkel együtt történő megvásárlása iránt, annak érdekében, hogy a mezőgazdasági tevékenység továbbfejlesztése és bővítése, valamint a falu mezőgazdaságának fejlődése biztosítva legyen, és hogy az önkormányzat költségvetése bevételhez jusson az értékesítésből</w:t>
      </w:r>
      <w:r>
        <w:t xml:space="preserve">, javasoljuk </w:t>
      </w:r>
      <w:r w:rsidR="008A66A0">
        <w:t xml:space="preserve">a </w:t>
      </w:r>
      <w:proofErr w:type="spellStart"/>
      <w:r w:rsidR="00545F66">
        <w:t>Felsőroglatica</w:t>
      </w:r>
      <w:proofErr w:type="spellEnd"/>
      <w:r w:rsidR="008A66A0">
        <w:t xml:space="preserve"> kataszteri község 2</w:t>
      </w:r>
      <w:r w:rsidR="00545F66">
        <w:t>403</w:t>
      </w:r>
      <w:r w:rsidR="0081738F" w:rsidRPr="0081738F">
        <w:t xml:space="preserve">. </w:t>
      </w:r>
      <w:proofErr w:type="spellStart"/>
      <w:r w:rsidR="0081738F" w:rsidRPr="0081738F">
        <w:t>hsz</w:t>
      </w:r>
      <w:proofErr w:type="spellEnd"/>
      <w:r w:rsidR="0081738F" w:rsidRPr="0081738F">
        <w:t xml:space="preserve">. telkén épült ingatlan Topolya község köztulajdonából való elidegenítési eljárásának megkezdéséről </w:t>
      </w:r>
      <w:r w:rsidR="0081738F">
        <w:t>szóló határozat</w:t>
      </w:r>
      <w:r>
        <w:t xml:space="preserve"> meghozatalát.</w:t>
      </w:r>
      <w:r w:rsidR="002E03D5">
        <w:t xml:space="preserve"> </w:t>
      </w:r>
      <w:r w:rsidR="00545F66">
        <w:t xml:space="preserve"> </w:t>
      </w:r>
    </w:p>
    <w:p w14:paraId="0286A659" w14:textId="77777777" w:rsidR="00043006" w:rsidRDefault="00043006" w:rsidP="007F639B">
      <w:pPr>
        <w:jc w:val="both"/>
      </w:pPr>
    </w:p>
    <w:p w14:paraId="02A84CF2" w14:textId="77777777" w:rsidR="00043006" w:rsidRDefault="00043006" w:rsidP="007F639B">
      <w:pPr>
        <w:jc w:val="both"/>
      </w:pPr>
      <w:r>
        <w:t>III. SZÜKSÉGES PÉNZESZKÖZÖK:</w:t>
      </w:r>
    </w:p>
    <w:p w14:paraId="0D9CA4A1" w14:textId="77777777" w:rsidR="00043006" w:rsidRDefault="00043006" w:rsidP="007F639B">
      <w:pPr>
        <w:jc w:val="both"/>
      </w:pPr>
      <w:r>
        <w:tab/>
        <w:t xml:space="preserve">E határozat végrehajtásához </w:t>
      </w:r>
      <w:r w:rsidR="0081738F">
        <w:t>biztosítottak a szükséges pénzeszközök</w:t>
      </w:r>
      <w:r>
        <w:t xml:space="preserve"> T</w:t>
      </w:r>
      <w:r w:rsidR="0081738F">
        <w:t>opolya község</w:t>
      </w:r>
      <w:r w:rsidR="00BA5DAA">
        <w:t>i</w:t>
      </w:r>
      <w:r w:rsidR="0081738F">
        <w:t xml:space="preserve"> költségvetésében. </w:t>
      </w:r>
    </w:p>
    <w:p w14:paraId="4D646E41" w14:textId="77777777" w:rsidR="00043006" w:rsidRDefault="00043006" w:rsidP="007F639B">
      <w:pPr>
        <w:jc w:val="both"/>
      </w:pPr>
    </w:p>
    <w:p w14:paraId="20E6878E" w14:textId="77777777" w:rsidR="00043006" w:rsidRPr="00C8677B" w:rsidRDefault="00043006" w:rsidP="00043006">
      <w:pPr>
        <w:jc w:val="right"/>
      </w:pPr>
      <w:r>
        <w:t xml:space="preserve">Községi Tanács </w:t>
      </w:r>
    </w:p>
    <w:sectPr w:rsidR="00043006" w:rsidRPr="00C867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B0B46"/>
    <w:multiLevelType w:val="hybridMultilevel"/>
    <w:tmpl w:val="62D89378"/>
    <w:lvl w:ilvl="0" w:tplc="9C4ED26A">
      <w:start w:val="1"/>
      <w:numFmt w:val="bullet"/>
      <w:lvlText w:val=""/>
      <w:lvlJc w:val="left"/>
      <w:pPr>
        <w:ind w:left="1695" w:hanging="975"/>
      </w:pPr>
      <w:rPr>
        <w:rFonts w:ascii="Symbol" w:hAnsi="Symbol" w:hint="default"/>
      </w:rPr>
    </w:lvl>
    <w:lvl w:ilvl="1" w:tplc="CDD8529A" w:tentative="1">
      <w:start w:val="1"/>
      <w:numFmt w:val="lowerLetter"/>
      <w:lvlText w:val="%2."/>
      <w:lvlJc w:val="left"/>
      <w:pPr>
        <w:ind w:left="1800" w:hanging="360"/>
      </w:pPr>
    </w:lvl>
    <w:lvl w:ilvl="2" w:tplc="647661F4" w:tentative="1">
      <w:start w:val="1"/>
      <w:numFmt w:val="lowerRoman"/>
      <w:lvlText w:val="%3."/>
      <w:lvlJc w:val="right"/>
      <w:pPr>
        <w:ind w:left="2520" w:hanging="180"/>
      </w:pPr>
    </w:lvl>
    <w:lvl w:ilvl="3" w:tplc="3EE43A3A" w:tentative="1">
      <w:start w:val="1"/>
      <w:numFmt w:val="decimal"/>
      <w:lvlText w:val="%4."/>
      <w:lvlJc w:val="left"/>
      <w:pPr>
        <w:ind w:left="3240" w:hanging="360"/>
      </w:pPr>
    </w:lvl>
    <w:lvl w:ilvl="4" w:tplc="310E62A8" w:tentative="1">
      <w:start w:val="1"/>
      <w:numFmt w:val="lowerLetter"/>
      <w:lvlText w:val="%5."/>
      <w:lvlJc w:val="left"/>
      <w:pPr>
        <w:ind w:left="3960" w:hanging="360"/>
      </w:pPr>
    </w:lvl>
    <w:lvl w:ilvl="5" w:tplc="5BBA6858" w:tentative="1">
      <w:start w:val="1"/>
      <w:numFmt w:val="lowerRoman"/>
      <w:lvlText w:val="%6."/>
      <w:lvlJc w:val="right"/>
      <w:pPr>
        <w:ind w:left="4680" w:hanging="180"/>
      </w:pPr>
    </w:lvl>
    <w:lvl w:ilvl="6" w:tplc="66C65ABA" w:tentative="1">
      <w:start w:val="1"/>
      <w:numFmt w:val="decimal"/>
      <w:lvlText w:val="%7."/>
      <w:lvlJc w:val="left"/>
      <w:pPr>
        <w:ind w:left="5400" w:hanging="360"/>
      </w:pPr>
    </w:lvl>
    <w:lvl w:ilvl="7" w:tplc="FC7E3438" w:tentative="1">
      <w:start w:val="1"/>
      <w:numFmt w:val="lowerLetter"/>
      <w:lvlText w:val="%8."/>
      <w:lvlJc w:val="left"/>
      <w:pPr>
        <w:ind w:left="6120" w:hanging="360"/>
      </w:pPr>
    </w:lvl>
    <w:lvl w:ilvl="8" w:tplc="9E00122C" w:tentative="1">
      <w:start w:val="1"/>
      <w:numFmt w:val="lowerRoman"/>
      <w:lvlText w:val="%9."/>
      <w:lvlJc w:val="right"/>
      <w:pPr>
        <w:ind w:left="6840" w:hanging="180"/>
      </w:pPr>
    </w:lvl>
  </w:abstractNum>
  <w:abstractNum w:abstractNumId="1" w15:restartNumberingAfterBreak="0">
    <w:nsid w:val="377F3606"/>
    <w:multiLevelType w:val="hybridMultilevel"/>
    <w:tmpl w:val="8E608E06"/>
    <w:lvl w:ilvl="0" w:tplc="264A46D4">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7CFA6191"/>
    <w:multiLevelType w:val="hybridMultilevel"/>
    <w:tmpl w:val="C41280EC"/>
    <w:lvl w:ilvl="0" w:tplc="392A93F6">
      <w:numFmt w:val="bullet"/>
      <w:lvlText w:val="-"/>
      <w:lvlJc w:val="left"/>
      <w:pPr>
        <w:ind w:left="927" w:hanging="360"/>
      </w:pPr>
      <w:rPr>
        <w:rFonts w:ascii="Times New Roman" w:eastAsia="Times New Roman" w:hAnsi="Times New Roman" w:cs="Times New Roman" w:hint="default"/>
        <w:b/>
      </w:rPr>
    </w:lvl>
    <w:lvl w:ilvl="1" w:tplc="241A0003" w:tentative="1">
      <w:start w:val="1"/>
      <w:numFmt w:val="bullet"/>
      <w:lvlText w:val="o"/>
      <w:lvlJc w:val="left"/>
      <w:pPr>
        <w:ind w:left="1647" w:hanging="360"/>
      </w:pPr>
      <w:rPr>
        <w:rFonts w:ascii="Courier New" w:hAnsi="Courier New" w:cs="Courier New" w:hint="default"/>
      </w:rPr>
    </w:lvl>
    <w:lvl w:ilvl="2" w:tplc="241A0005" w:tentative="1">
      <w:start w:val="1"/>
      <w:numFmt w:val="bullet"/>
      <w:lvlText w:val=""/>
      <w:lvlJc w:val="left"/>
      <w:pPr>
        <w:ind w:left="2367" w:hanging="360"/>
      </w:pPr>
      <w:rPr>
        <w:rFonts w:ascii="Wingdings" w:hAnsi="Wingdings" w:hint="default"/>
      </w:rPr>
    </w:lvl>
    <w:lvl w:ilvl="3" w:tplc="241A0001" w:tentative="1">
      <w:start w:val="1"/>
      <w:numFmt w:val="bullet"/>
      <w:lvlText w:val=""/>
      <w:lvlJc w:val="left"/>
      <w:pPr>
        <w:ind w:left="3087" w:hanging="360"/>
      </w:pPr>
      <w:rPr>
        <w:rFonts w:ascii="Symbol" w:hAnsi="Symbol" w:hint="default"/>
      </w:rPr>
    </w:lvl>
    <w:lvl w:ilvl="4" w:tplc="241A0003" w:tentative="1">
      <w:start w:val="1"/>
      <w:numFmt w:val="bullet"/>
      <w:lvlText w:val="o"/>
      <w:lvlJc w:val="left"/>
      <w:pPr>
        <w:ind w:left="3807" w:hanging="360"/>
      </w:pPr>
      <w:rPr>
        <w:rFonts w:ascii="Courier New" w:hAnsi="Courier New" w:cs="Courier New" w:hint="default"/>
      </w:rPr>
    </w:lvl>
    <w:lvl w:ilvl="5" w:tplc="241A0005" w:tentative="1">
      <w:start w:val="1"/>
      <w:numFmt w:val="bullet"/>
      <w:lvlText w:val=""/>
      <w:lvlJc w:val="left"/>
      <w:pPr>
        <w:ind w:left="4527" w:hanging="360"/>
      </w:pPr>
      <w:rPr>
        <w:rFonts w:ascii="Wingdings" w:hAnsi="Wingdings" w:hint="default"/>
      </w:rPr>
    </w:lvl>
    <w:lvl w:ilvl="6" w:tplc="241A0001" w:tentative="1">
      <w:start w:val="1"/>
      <w:numFmt w:val="bullet"/>
      <w:lvlText w:val=""/>
      <w:lvlJc w:val="left"/>
      <w:pPr>
        <w:ind w:left="5247" w:hanging="360"/>
      </w:pPr>
      <w:rPr>
        <w:rFonts w:ascii="Symbol" w:hAnsi="Symbol" w:hint="default"/>
      </w:rPr>
    </w:lvl>
    <w:lvl w:ilvl="7" w:tplc="241A0003" w:tentative="1">
      <w:start w:val="1"/>
      <w:numFmt w:val="bullet"/>
      <w:lvlText w:val="o"/>
      <w:lvlJc w:val="left"/>
      <w:pPr>
        <w:ind w:left="5967" w:hanging="360"/>
      </w:pPr>
      <w:rPr>
        <w:rFonts w:ascii="Courier New" w:hAnsi="Courier New" w:cs="Courier New" w:hint="default"/>
      </w:rPr>
    </w:lvl>
    <w:lvl w:ilvl="8" w:tplc="241A0005" w:tentative="1">
      <w:start w:val="1"/>
      <w:numFmt w:val="bullet"/>
      <w:lvlText w:val=""/>
      <w:lvlJc w:val="left"/>
      <w:pPr>
        <w:ind w:left="6687" w:hanging="360"/>
      </w:pPr>
      <w:rPr>
        <w:rFonts w:ascii="Wingdings" w:hAnsi="Wingdings" w:hint="default"/>
      </w:rPr>
    </w:lvl>
  </w:abstractNum>
  <w:num w:numId="1" w16cid:durableId="694959564">
    <w:abstractNumId w:val="1"/>
  </w:num>
  <w:num w:numId="2" w16cid:durableId="1073238551">
    <w:abstractNumId w:val="0"/>
  </w:num>
  <w:num w:numId="3" w16cid:durableId="690373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C1D"/>
    <w:rsid w:val="00014A50"/>
    <w:rsid w:val="0001527E"/>
    <w:rsid w:val="000374E7"/>
    <w:rsid w:val="00043006"/>
    <w:rsid w:val="00045FA6"/>
    <w:rsid w:val="000724E0"/>
    <w:rsid w:val="0007488A"/>
    <w:rsid w:val="00083A1C"/>
    <w:rsid w:val="000C248E"/>
    <w:rsid w:val="000D7A54"/>
    <w:rsid w:val="000E5F64"/>
    <w:rsid w:val="000F1A84"/>
    <w:rsid w:val="000F65C6"/>
    <w:rsid w:val="001121F2"/>
    <w:rsid w:val="00112705"/>
    <w:rsid w:val="001254B3"/>
    <w:rsid w:val="00141002"/>
    <w:rsid w:val="00170654"/>
    <w:rsid w:val="00193C1B"/>
    <w:rsid w:val="00196BCA"/>
    <w:rsid w:val="001975BE"/>
    <w:rsid w:val="00197E3C"/>
    <w:rsid w:val="001E3C54"/>
    <w:rsid w:val="00202C7F"/>
    <w:rsid w:val="00206B2A"/>
    <w:rsid w:val="00237F2E"/>
    <w:rsid w:val="00247DF1"/>
    <w:rsid w:val="00250F87"/>
    <w:rsid w:val="0027112E"/>
    <w:rsid w:val="002867BB"/>
    <w:rsid w:val="002A2FFE"/>
    <w:rsid w:val="002A5C17"/>
    <w:rsid w:val="002B1CA8"/>
    <w:rsid w:val="002D3B19"/>
    <w:rsid w:val="002D549D"/>
    <w:rsid w:val="002E03D5"/>
    <w:rsid w:val="002F0B30"/>
    <w:rsid w:val="003345E4"/>
    <w:rsid w:val="003421E4"/>
    <w:rsid w:val="00347159"/>
    <w:rsid w:val="00347EE4"/>
    <w:rsid w:val="00366DB6"/>
    <w:rsid w:val="00391798"/>
    <w:rsid w:val="003B4984"/>
    <w:rsid w:val="003D4D59"/>
    <w:rsid w:val="004179AA"/>
    <w:rsid w:val="004213DA"/>
    <w:rsid w:val="00431DF6"/>
    <w:rsid w:val="00447648"/>
    <w:rsid w:val="00460E1A"/>
    <w:rsid w:val="004634D2"/>
    <w:rsid w:val="004A565D"/>
    <w:rsid w:val="004A568A"/>
    <w:rsid w:val="004A780F"/>
    <w:rsid w:val="004B0A87"/>
    <w:rsid w:val="004D222F"/>
    <w:rsid w:val="00521FCB"/>
    <w:rsid w:val="00545F66"/>
    <w:rsid w:val="005554BA"/>
    <w:rsid w:val="00560727"/>
    <w:rsid w:val="005713D0"/>
    <w:rsid w:val="00572BE6"/>
    <w:rsid w:val="005A09AF"/>
    <w:rsid w:val="005B1562"/>
    <w:rsid w:val="005C4AB2"/>
    <w:rsid w:val="006215F9"/>
    <w:rsid w:val="00646D11"/>
    <w:rsid w:val="00664A95"/>
    <w:rsid w:val="00676605"/>
    <w:rsid w:val="006F34CD"/>
    <w:rsid w:val="00722201"/>
    <w:rsid w:val="00726E90"/>
    <w:rsid w:val="007732EF"/>
    <w:rsid w:val="00777D4F"/>
    <w:rsid w:val="007A6CD9"/>
    <w:rsid w:val="007B0D06"/>
    <w:rsid w:val="007B65AC"/>
    <w:rsid w:val="007C0803"/>
    <w:rsid w:val="007D7155"/>
    <w:rsid w:val="007F3038"/>
    <w:rsid w:val="007F639B"/>
    <w:rsid w:val="00812AE6"/>
    <w:rsid w:val="0081738F"/>
    <w:rsid w:val="00820301"/>
    <w:rsid w:val="00827C3F"/>
    <w:rsid w:val="00832249"/>
    <w:rsid w:val="0086109C"/>
    <w:rsid w:val="008640D3"/>
    <w:rsid w:val="008859E7"/>
    <w:rsid w:val="00893384"/>
    <w:rsid w:val="008A1EF0"/>
    <w:rsid w:val="008A4FE1"/>
    <w:rsid w:val="008A66A0"/>
    <w:rsid w:val="008C0DEB"/>
    <w:rsid w:val="008E10AB"/>
    <w:rsid w:val="008F7B62"/>
    <w:rsid w:val="00934DDB"/>
    <w:rsid w:val="00950B34"/>
    <w:rsid w:val="009927CC"/>
    <w:rsid w:val="009D24ED"/>
    <w:rsid w:val="009F3D31"/>
    <w:rsid w:val="00A7495C"/>
    <w:rsid w:val="00A826A5"/>
    <w:rsid w:val="00AE3407"/>
    <w:rsid w:val="00B07C1D"/>
    <w:rsid w:val="00B278A4"/>
    <w:rsid w:val="00B31C10"/>
    <w:rsid w:val="00B654BB"/>
    <w:rsid w:val="00BA5DAA"/>
    <w:rsid w:val="00BB0AB6"/>
    <w:rsid w:val="00BD7507"/>
    <w:rsid w:val="00C57A82"/>
    <w:rsid w:val="00C86735"/>
    <w:rsid w:val="00C8677B"/>
    <w:rsid w:val="00CA12F9"/>
    <w:rsid w:val="00CC1863"/>
    <w:rsid w:val="00CE0091"/>
    <w:rsid w:val="00CF2E93"/>
    <w:rsid w:val="00D02775"/>
    <w:rsid w:val="00D11151"/>
    <w:rsid w:val="00D4484B"/>
    <w:rsid w:val="00D605AC"/>
    <w:rsid w:val="00D95E65"/>
    <w:rsid w:val="00DA71E7"/>
    <w:rsid w:val="00DB6A61"/>
    <w:rsid w:val="00DE109E"/>
    <w:rsid w:val="00E14C7D"/>
    <w:rsid w:val="00EA149D"/>
    <w:rsid w:val="00ED72DC"/>
    <w:rsid w:val="00F01A1C"/>
    <w:rsid w:val="00F10371"/>
    <w:rsid w:val="00F200C5"/>
    <w:rsid w:val="00F4716E"/>
    <w:rsid w:val="00F658A0"/>
    <w:rsid w:val="00FD30B7"/>
    <w:rsid w:val="00FD3EA1"/>
    <w:rsid w:val="00FF1336"/>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A220B"/>
  <w15:docId w15:val="{AFB48EE1-D881-46AF-82ED-B915C7016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5BE"/>
    <w:pPr>
      <w:spacing w:after="0" w:line="240" w:lineRule="auto"/>
    </w:pPr>
    <w:rPr>
      <w:rFonts w:ascii="Times New Roman" w:eastAsia="Times New Roman" w:hAnsi="Times New Roman" w:cs="Times New Roman"/>
      <w:szCs w:val="24"/>
      <w:lang w:val="hu-HU" w:eastAsia="hu-H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7C1D"/>
    <w:pPr>
      <w:spacing w:after="0" w:line="240" w:lineRule="auto"/>
    </w:pPr>
    <w:rPr>
      <w:rFonts w:ascii="Calibri" w:eastAsia="Calibri" w:hAnsi="Calibri" w:cs="Times New Roman"/>
    </w:rPr>
  </w:style>
  <w:style w:type="table" w:styleId="TableGrid">
    <w:name w:val="Table Grid"/>
    <w:basedOn w:val="TableNormal"/>
    <w:uiPriority w:val="59"/>
    <w:rsid w:val="006F3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639B"/>
    <w:pPr>
      <w:ind w:left="720"/>
      <w:contextualSpacing/>
    </w:pPr>
  </w:style>
  <w:style w:type="character" w:customStyle="1" w:styleId="rynqvb">
    <w:name w:val="rynqvb"/>
    <w:basedOn w:val="DefaultParagraphFont"/>
    <w:rsid w:val="00777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4</Pages>
  <Words>2078</Words>
  <Characters>11851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Penovac</dc:creator>
  <cp:lastModifiedBy>Sára Penovác</cp:lastModifiedBy>
  <cp:revision>22</cp:revision>
  <dcterms:created xsi:type="dcterms:W3CDTF">2024-02-01T11:17:00Z</dcterms:created>
  <dcterms:modified xsi:type="dcterms:W3CDTF">2025-10-16T11:55:00Z</dcterms:modified>
</cp:coreProperties>
</file>